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B19F3" w14:textId="77777777" w:rsidR="00B43FD5" w:rsidRDefault="00B43FD5" w:rsidP="00B43FD5">
      <w:pPr>
        <w:jc w:val="center"/>
        <w:rPr>
          <w:b/>
          <w:lang w:val="en-GB"/>
        </w:rPr>
      </w:pPr>
      <w:r w:rsidRPr="00B8727B">
        <w:rPr>
          <w:b/>
          <w:lang w:val="en-GB"/>
        </w:rPr>
        <w:t>TERMS OF REFERENCE</w:t>
      </w:r>
    </w:p>
    <w:p w14:paraId="59DF4316" w14:textId="77777777" w:rsidR="00B43FD5" w:rsidRPr="00B8727B" w:rsidRDefault="00B43FD5" w:rsidP="00B43FD5">
      <w:pPr>
        <w:jc w:val="center"/>
        <w:rPr>
          <w:b/>
          <w:lang w:val="en-GB"/>
        </w:rPr>
      </w:pPr>
      <w:r>
        <w:rPr>
          <w:b/>
          <w:lang w:val="en-GB"/>
        </w:rPr>
        <w:t>for</w:t>
      </w:r>
      <w:r w:rsidRPr="00B8727B">
        <w:rPr>
          <w:b/>
          <w:lang w:val="en-GB"/>
        </w:rPr>
        <w:t xml:space="preserve"> </w:t>
      </w:r>
    </w:p>
    <w:p w14:paraId="651D8B97" w14:textId="589F30A5" w:rsidR="00B43FD5" w:rsidRPr="00370B7F" w:rsidRDefault="00B43FD5" w:rsidP="00B43FD5">
      <w:pPr>
        <w:jc w:val="center"/>
        <w:rPr>
          <w:b/>
        </w:rPr>
      </w:pPr>
      <w:r>
        <w:rPr>
          <w:b/>
        </w:rPr>
        <w:t>TECHNICAL EXPERT</w:t>
      </w:r>
      <w:r w:rsidR="00C36D68">
        <w:rPr>
          <w:b/>
        </w:rPr>
        <w:t xml:space="preserve"> (</w:t>
      </w:r>
      <w:r w:rsidR="0014006F">
        <w:rPr>
          <w:b/>
        </w:rPr>
        <w:t>Mechanical</w:t>
      </w:r>
      <w:r w:rsidR="00C66232">
        <w:rPr>
          <w:b/>
        </w:rPr>
        <w:t>/</w:t>
      </w:r>
      <w:r w:rsidR="00C66232" w:rsidRPr="00BC203E">
        <w:rPr>
          <w:b/>
        </w:rPr>
        <w:t>Architectural/Civil</w:t>
      </w:r>
      <w:r w:rsidR="00C66232" w:rsidRPr="00E41F78">
        <w:rPr>
          <w:b/>
        </w:rPr>
        <w:t xml:space="preserve"> Engineer</w:t>
      </w:r>
      <w:r w:rsidR="00E41F78">
        <w:rPr>
          <w:b/>
        </w:rPr>
        <w:t>)</w:t>
      </w:r>
    </w:p>
    <w:p w14:paraId="39810F93" w14:textId="77777777" w:rsidR="00B43FD5" w:rsidRPr="00B8727B" w:rsidRDefault="00B43FD5" w:rsidP="00B43FD5">
      <w:pPr>
        <w:jc w:val="center"/>
        <w:rPr>
          <w:b/>
        </w:rPr>
      </w:pPr>
      <w:r>
        <w:rPr>
          <w:b/>
        </w:rPr>
        <w:t>under</w:t>
      </w:r>
    </w:p>
    <w:p w14:paraId="273F4D93" w14:textId="4449ACD8" w:rsidR="00B43FD5" w:rsidRPr="00B8727B" w:rsidRDefault="00B43FD5" w:rsidP="00B43FD5">
      <w:pPr>
        <w:jc w:val="center"/>
        <w:rPr>
          <w:b/>
        </w:rPr>
      </w:pPr>
      <w:r w:rsidRPr="00B8727B">
        <w:rPr>
          <w:b/>
        </w:rPr>
        <w:t>SERBIA SCALING UP RESIDENTIAL CLEAN EN</w:t>
      </w:r>
      <w:r w:rsidR="00C66232">
        <w:rPr>
          <w:b/>
        </w:rPr>
        <w:t>E</w:t>
      </w:r>
      <w:r w:rsidRPr="00B8727B">
        <w:rPr>
          <w:b/>
        </w:rPr>
        <w:t>RGY (SURCE) PROJECT</w:t>
      </w:r>
    </w:p>
    <w:p w14:paraId="428FCBB5" w14:textId="77777777" w:rsidR="00B43FD5" w:rsidRPr="00B8727B" w:rsidRDefault="00B43FD5" w:rsidP="00B43FD5">
      <w:pPr>
        <w:jc w:val="center"/>
        <w:rPr>
          <w:b/>
        </w:rPr>
      </w:pPr>
    </w:p>
    <w:p w14:paraId="2186A749" w14:textId="77777777" w:rsidR="00B43FD5" w:rsidRPr="00B8727B" w:rsidRDefault="00B43FD5" w:rsidP="00B43FD5"/>
    <w:p w14:paraId="45CC6EC4" w14:textId="77777777" w:rsidR="00B43FD5" w:rsidRPr="00B8727B" w:rsidRDefault="00B43FD5" w:rsidP="00B43FD5">
      <w:pPr>
        <w:pStyle w:val="Heading2"/>
      </w:pPr>
      <w:r w:rsidRPr="00B8727B">
        <w:t xml:space="preserve">Background </w:t>
      </w:r>
    </w:p>
    <w:p w14:paraId="4EC22779" w14:textId="77777777" w:rsidR="00B43FD5" w:rsidRPr="00B8727B" w:rsidRDefault="00B43FD5" w:rsidP="00B43FD5"/>
    <w:p w14:paraId="097137BC" w14:textId="77777777" w:rsidR="00B43FD5" w:rsidRPr="00B8727B" w:rsidRDefault="00B43FD5" w:rsidP="00B43FD5">
      <w:pPr>
        <w:autoSpaceDE w:val="0"/>
        <w:autoSpaceDN w:val="0"/>
        <w:adjustRightInd w:val="0"/>
        <w:jc w:val="both"/>
        <w:rPr>
          <w:sz w:val="22"/>
          <w:szCs w:val="22"/>
        </w:rPr>
      </w:pPr>
      <w:r w:rsidRPr="00B8727B">
        <w:rPr>
          <w:sz w:val="22"/>
          <w:szCs w:val="22"/>
          <w:lang w:val="en-GB"/>
        </w:rPr>
        <w:t>The Government of the Republic of Serbia (</w:t>
      </w:r>
      <w:proofErr w:type="spellStart"/>
      <w:r w:rsidRPr="00B8727B">
        <w:rPr>
          <w:sz w:val="22"/>
          <w:szCs w:val="22"/>
          <w:lang w:val="en-GB"/>
        </w:rPr>
        <w:t>GoS</w:t>
      </w:r>
      <w:proofErr w:type="spellEnd"/>
      <w:r w:rsidRPr="00B8727B">
        <w:rPr>
          <w:sz w:val="22"/>
          <w:szCs w:val="22"/>
          <w:lang w:val="en-GB"/>
        </w:rPr>
        <w:t xml:space="preserve">) has secured financing from the International Bank for Reconstruction and Development (IBRD), which is part of the World Bank Group, to implement the Serbia ‘Scaling Up Residential Clean Energy’ (SURCE) Project, hereinafter “The Project”. </w:t>
      </w:r>
      <w:r w:rsidRPr="00B8727B">
        <w:rPr>
          <w:sz w:val="22"/>
          <w:szCs w:val="22"/>
        </w:rPr>
        <w:t>The development objective of the Project is to i</w:t>
      </w:r>
      <w:r w:rsidRPr="00B8727B">
        <w:rPr>
          <w:noProof/>
          <w:sz w:val="22"/>
          <w:szCs w:val="22"/>
        </w:rPr>
        <w:t>ncrease the uptake of energy efficiency, sustainable heating, and rooftop solar photovoltaics (RSPV) by households in participating local self-government units (LSGUs) in Serbia</w:t>
      </w:r>
      <w:r w:rsidRPr="00B8727B">
        <w:rPr>
          <w:sz w:val="22"/>
          <w:szCs w:val="22"/>
        </w:rPr>
        <w:t xml:space="preserve">. An important associated objective is to reduce greenhouse gas (GHG) emissions and improve air quality thanks to achieved energy savings and reduced use of solid fuels for heating. These objectives will be achieved by two project components: </w:t>
      </w:r>
    </w:p>
    <w:p w14:paraId="5773D48D" w14:textId="77777777" w:rsidR="00B43FD5" w:rsidRPr="00B8727B" w:rsidRDefault="00B43FD5" w:rsidP="00B43FD5">
      <w:pPr>
        <w:pStyle w:val="NormalList"/>
        <w:rPr>
          <w:rFonts w:ascii="Times New Roman" w:hAnsi="Times New Roman"/>
        </w:rPr>
      </w:pPr>
      <w:r w:rsidRPr="00B8727B">
        <w:rPr>
          <w:rFonts w:ascii="Times New Roman" w:hAnsi="Times New Roman"/>
        </w:rPr>
        <w:t>Component 1: Financing Energy Efficiency, Sustainable Heating, and Rooftop Solar Investments in Residential Buildings with a key focus on single-family houses (SFHs).</w:t>
      </w:r>
    </w:p>
    <w:p w14:paraId="11AE1A57" w14:textId="77777777" w:rsidR="00B43FD5" w:rsidRPr="00B8727B" w:rsidRDefault="00B43FD5" w:rsidP="00B43FD5">
      <w:pPr>
        <w:pStyle w:val="NormalList"/>
        <w:rPr>
          <w:rFonts w:ascii="Times New Roman" w:hAnsi="Times New Roman"/>
        </w:rPr>
      </w:pPr>
      <w:r w:rsidRPr="00B8727B">
        <w:rPr>
          <w:rFonts w:ascii="Times New Roman" w:hAnsi="Times New Roman"/>
          <w:bCs/>
        </w:rPr>
        <w:t>Component 2:</w:t>
      </w:r>
      <w:r w:rsidRPr="00B8727B">
        <w:rPr>
          <w:rFonts w:ascii="Times New Roman" w:hAnsi="Times New Roman"/>
        </w:rPr>
        <w:t xml:space="preserve"> Technical Assistance and Implementation Support, with the overall aim of supporting the development of scalable financing mechanisms and removing market barriers, with three subcomponents: (a) enhancing local market capacity, improving enabling environment, and strengthening public awareness; (b) technical studies informing program design and implementation; and (c) project implementation support.</w:t>
      </w:r>
    </w:p>
    <w:p w14:paraId="5F352B68" w14:textId="77777777" w:rsidR="00B43FD5" w:rsidRPr="00B8727B" w:rsidRDefault="00B43FD5" w:rsidP="00B43FD5">
      <w:pPr>
        <w:autoSpaceDE w:val="0"/>
        <w:autoSpaceDN w:val="0"/>
        <w:adjustRightInd w:val="0"/>
        <w:jc w:val="both"/>
        <w:rPr>
          <w:bCs/>
          <w:sz w:val="22"/>
          <w:szCs w:val="22"/>
        </w:rPr>
      </w:pPr>
    </w:p>
    <w:p w14:paraId="15CF30A4" w14:textId="77777777" w:rsidR="00B43FD5" w:rsidRPr="00B8727B" w:rsidRDefault="00B43FD5" w:rsidP="00B43FD5">
      <w:pPr>
        <w:autoSpaceDE w:val="0"/>
        <w:autoSpaceDN w:val="0"/>
        <w:adjustRightInd w:val="0"/>
        <w:jc w:val="both"/>
        <w:rPr>
          <w:sz w:val="22"/>
          <w:szCs w:val="22"/>
        </w:rPr>
      </w:pPr>
      <w:r w:rsidRPr="00B8727B">
        <w:rPr>
          <w:bCs/>
          <w:sz w:val="22"/>
          <w:szCs w:val="22"/>
        </w:rPr>
        <w:t>Components 1 and 2 will be implemented simultaneously; together they represent USD 50 million with Component 1 being allocated the major share of loan proceeds.</w:t>
      </w:r>
      <w:r w:rsidRPr="00B8727B">
        <w:rPr>
          <w:sz w:val="22"/>
          <w:szCs w:val="22"/>
        </w:rPr>
        <w:t xml:space="preserve"> Investments will be financed under Component 1 and scaled up relying on the analytical insights, institutional structures, and financing mechanisms developed under Component 2. The Ministry of Mining and Energy (</w:t>
      </w:r>
      <w:proofErr w:type="spellStart"/>
      <w:r w:rsidRPr="00B8727B">
        <w:rPr>
          <w:sz w:val="22"/>
          <w:szCs w:val="22"/>
        </w:rPr>
        <w:t>MoME</w:t>
      </w:r>
      <w:proofErr w:type="spellEnd"/>
      <w:r w:rsidRPr="00B8727B">
        <w:rPr>
          <w:sz w:val="22"/>
          <w:szCs w:val="22"/>
        </w:rPr>
        <w:t xml:space="preserve">) might provide additional funds from the government budget to expand the scope of the investments. </w:t>
      </w:r>
    </w:p>
    <w:p w14:paraId="4889C0B8" w14:textId="77777777" w:rsidR="00B43FD5" w:rsidRPr="00B8727B" w:rsidRDefault="00B43FD5" w:rsidP="00B43FD5">
      <w:pPr>
        <w:autoSpaceDE w:val="0"/>
        <w:autoSpaceDN w:val="0"/>
        <w:adjustRightInd w:val="0"/>
        <w:jc w:val="both"/>
        <w:rPr>
          <w:sz w:val="22"/>
          <w:szCs w:val="22"/>
        </w:rPr>
      </w:pPr>
    </w:p>
    <w:p w14:paraId="67B33513" w14:textId="77777777" w:rsidR="00B43FD5" w:rsidRPr="00B8727B" w:rsidRDefault="00B43FD5" w:rsidP="00B43FD5">
      <w:pPr>
        <w:autoSpaceDE w:val="0"/>
        <w:autoSpaceDN w:val="0"/>
        <w:adjustRightInd w:val="0"/>
        <w:jc w:val="both"/>
        <w:rPr>
          <w:sz w:val="22"/>
          <w:szCs w:val="22"/>
        </w:rPr>
      </w:pPr>
      <w:r w:rsidRPr="00B8727B">
        <w:rPr>
          <w:sz w:val="22"/>
          <w:szCs w:val="22"/>
        </w:rPr>
        <w:t xml:space="preserve">The Project became effective in December 2022 and will be implemented over a 5-year period until November 2027. The overall responsibility for implementation of the project rests with the Government of Serbia, with the </w:t>
      </w:r>
      <w:proofErr w:type="spellStart"/>
      <w:r w:rsidRPr="00B8727B">
        <w:rPr>
          <w:sz w:val="22"/>
          <w:szCs w:val="22"/>
        </w:rPr>
        <w:t>MoME</w:t>
      </w:r>
      <w:proofErr w:type="spellEnd"/>
      <w:r w:rsidRPr="00B8727B">
        <w:rPr>
          <w:sz w:val="22"/>
          <w:szCs w:val="22"/>
        </w:rPr>
        <w:t xml:space="preserve"> acting as implementing entity. The </w:t>
      </w:r>
      <w:proofErr w:type="spellStart"/>
      <w:r w:rsidRPr="00B8727B">
        <w:rPr>
          <w:sz w:val="22"/>
          <w:szCs w:val="22"/>
        </w:rPr>
        <w:t>MoME</w:t>
      </w:r>
      <w:proofErr w:type="spellEnd"/>
      <w:r w:rsidRPr="00B8727B">
        <w:rPr>
          <w:sz w:val="22"/>
          <w:szCs w:val="22"/>
        </w:rPr>
        <w:t xml:space="preserve"> will establish a Project Implementation Unit (PIU) to carry out the day-to-day activities of Project implementation. The PIU will coordinate closely with the </w:t>
      </w:r>
      <w:proofErr w:type="spellStart"/>
      <w:r w:rsidRPr="00B8727B">
        <w:rPr>
          <w:sz w:val="22"/>
          <w:szCs w:val="22"/>
        </w:rPr>
        <w:t>MoME</w:t>
      </w:r>
      <w:proofErr w:type="spellEnd"/>
      <w:r w:rsidRPr="00B8727B">
        <w:rPr>
          <w:sz w:val="22"/>
          <w:szCs w:val="22"/>
        </w:rPr>
        <w:t xml:space="preserve"> as well as the World Bank energy team responsible for the Project implementation on IBRD side. </w:t>
      </w:r>
    </w:p>
    <w:p w14:paraId="6107F8C3" w14:textId="77777777" w:rsidR="00B43FD5" w:rsidRPr="00B8727B" w:rsidRDefault="00B43FD5" w:rsidP="00B43FD5">
      <w:pPr>
        <w:autoSpaceDE w:val="0"/>
        <w:autoSpaceDN w:val="0"/>
        <w:adjustRightInd w:val="0"/>
        <w:jc w:val="both"/>
        <w:rPr>
          <w:sz w:val="22"/>
          <w:szCs w:val="22"/>
        </w:rPr>
      </w:pPr>
    </w:p>
    <w:p w14:paraId="09DF2909" w14:textId="77777777" w:rsidR="00B43FD5" w:rsidRPr="00B8727B" w:rsidRDefault="00B43FD5" w:rsidP="00B43FD5">
      <w:pPr>
        <w:autoSpaceDE w:val="0"/>
        <w:autoSpaceDN w:val="0"/>
        <w:adjustRightInd w:val="0"/>
        <w:jc w:val="both"/>
        <w:rPr>
          <w:sz w:val="22"/>
          <w:szCs w:val="22"/>
        </w:rPr>
      </w:pPr>
      <w:r w:rsidRPr="00B8727B">
        <w:rPr>
          <w:sz w:val="22"/>
          <w:szCs w:val="22"/>
        </w:rPr>
        <w:t xml:space="preserve">The Project will scale up a revised version of an existing government program, piloted in 2021, financing residential EE investments through a combination of public grants and leveraged private-sector financing. The investments under Component 1 will be financed through: (a) partial grants financed through the Project, offered by the </w:t>
      </w:r>
      <w:proofErr w:type="spellStart"/>
      <w:r w:rsidRPr="00B8727B">
        <w:rPr>
          <w:sz w:val="22"/>
          <w:szCs w:val="22"/>
        </w:rPr>
        <w:t>MoME</w:t>
      </w:r>
      <w:proofErr w:type="spellEnd"/>
      <w:r w:rsidRPr="00B8727B">
        <w:rPr>
          <w:sz w:val="22"/>
          <w:szCs w:val="22"/>
        </w:rPr>
        <w:t xml:space="preserve"> and channeled through participating local self-governing units (LSGUs); (b) partial grants offered by the LSGUs directly, in parallel with the IBRD financing channeled through the Project; and (c) household contributions, financed either from savings or borrowings (Figure 1).</w:t>
      </w:r>
    </w:p>
    <w:p w14:paraId="5135E9BA" w14:textId="77777777" w:rsidR="00B43FD5" w:rsidRPr="00B8727B" w:rsidRDefault="00B43FD5" w:rsidP="00B43FD5">
      <w:pPr>
        <w:autoSpaceDE w:val="0"/>
        <w:autoSpaceDN w:val="0"/>
        <w:adjustRightInd w:val="0"/>
        <w:jc w:val="both"/>
        <w:rPr>
          <w:sz w:val="22"/>
          <w:szCs w:val="22"/>
        </w:rPr>
      </w:pPr>
    </w:p>
    <w:p w14:paraId="1C546BE6" w14:textId="77777777" w:rsidR="00B43FD5" w:rsidRPr="00B8727B" w:rsidRDefault="00B43FD5" w:rsidP="00B43FD5">
      <w:pPr>
        <w:autoSpaceDE w:val="0"/>
        <w:autoSpaceDN w:val="0"/>
        <w:adjustRightInd w:val="0"/>
        <w:jc w:val="both"/>
        <w:rPr>
          <w:sz w:val="22"/>
          <w:szCs w:val="22"/>
        </w:rPr>
      </w:pPr>
    </w:p>
    <w:p w14:paraId="6DBC1C89" w14:textId="77777777" w:rsidR="00B43FD5" w:rsidRPr="00B8727B" w:rsidRDefault="00B43FD5" w:rsidP="00B43FD5">
      <w:pPr>
        <w:autoSpaceDE w:val="0"/>
        <w:autoSpaceDN w:val="0"/>
        <w:adjustRightInd w:val="0"/>
        <w:jc w:val="both"/>
        <w:rPr>
          <w:sz w:val="22"/>
          <w:szCs w:val="22"/>
        </w:rPr>
      </w:pPr>
    </w:p>
    <w:p w14:paraId="649FA6A2" w14:textId="77777777" w:rsidR="00B43FD5" w:rsidRPr="00B8727B" w:rsidRDefault="00B43FD5" w:rsidP="00B43FD5">
      <w:pPr>
        <w:autoSpaceDE w:val="0"/>
        <w:autoSpaceDN w:val="0"/>
        <w:adjustRightInd w:val="0"/>
        <w:jc w:val="both"/>
        <w:rPr>
          <w:sz w:val="22"/>
          <w:szCs w:val="22"/>
        </w:rPr>
      </w:pPr>
    </w:p>
    <w:p w14:paraId="5BC88039" w14:textId="77777777" w:rsidR="00B43FD5" w:rsidRPr="00B8727B" w:rsidRDefault="00B43FD5" w:rsidP="00B43FD5">
      <w:pPr>
        <w:autoSpaceDE w:val="0"/>
        <w:autoSpaceDN w:val="0"/>
        <w:adjustRightInd w:val="0"/>
        <w:jc w:val="both"/>
        <w:rPr>
          <w:sz w:val="22"/>
          <w:szCs w:val="22"/>
        </w:rPr>
      </w:pPr>
    </w:p>
    <w:p w14:paraId="35EBEFB6" w14:textId="77777777" w:rsidR="00B43FD5" w:rsidRPr="00B8727B" w:rsidRDefault="00B43FD5" w:rsidP="00B43FD5">
      <w:pPr>
        <w:autoSpaceDE w:val="0"/>
        <w:autoSpaceDN w:val="0"/>
        <w:adjustRightInd w:val="0"/>
        <w:jc w:val="center"/>
        <w:rPr>
          <w:b/>
          <w:bCs/>
          <w:sz w:val="22"/>
          <w:szCs w:val="22"/>
        </w:rPr>
      </w:pPr>
      <w:bookmarkStart w:id="0" w:name="_Ref88210574"/>
      <w:bookmarkStart w:id="1" w:name="_Ref88223457"/>
      <w:r w:rsidRPr="00B8727B">
        <w:rPr>
          <w:b/>
          <w:bCs/>
          <w:sz w:val="22"/>
          <w:szCs w:val="22"/>
        </w:rPr>
        <w:lastRenderedPageBreak/>
        <w:t xml:space="preserve">Figure </w:t>
      </w:r>
      <w:r w:rsidRPr="00B8727B">
        <w:rPr>
          <w:b/>
          <w:bCs/>
          <w:sz w:val="22"/>
          <w:szCs w:val="22"/>
        </w:rPr>
        <w:fldChar w:fldCharType="begin"/>
      </w:r>
      <w:r w:rsidRPr="00B8727B">
        <w:rPr>
          <w:b/>
          <w:bCs/>
          <w:sz w:val="22"/>
          <w:szCs w:val="22"/>
        </w:rPr>
        <w:instrText xml:space="preserve"> SEQ Figure \* ARABIC </w:instrText>
      </w:r>
      <w:r w:rsidRPr="00B8727B">
        <w:rPr>
          <w:b/>
          <w:bCs/>
          <w:sz w:val="22"/>
          <w:szCs w:val="22"/>
        </w:rPr>
        <w:fldChar w:fldCharType="separate"/>
      </w:r>
      <w:r>
        <w:rPr>
          <w:b/>
          <w:bCs/>
          <w:noProof/>
          <w:sz w:val="22"/>
          <w:szCs w:val="22"/>
        </w:rPr>
        <w:t>1</w:t>
      </w:r>
      <w:r w:rsidRPr="00B8727B">
        <w:rPr>
          <w:sz w:val="22"/>
          <w:szCs w:val="22"/>
        </w:rPr>
        <w:fldChar w:fldCharType="end"/>
      </w:r>
      <w:bookmarkEnd w:id="0"/>
      <w:r w:rsidRPr="00B8727B">
        <w:rPr>
          <w:b/>
          <w:bCs/>
          <w:sz w:val="22"/>
          <w:szCs w:val="22"/>
        </w:rPr>
        <w:t>. Structure of the Project, with the LSGU playing a pivotal role and the citizen required to pay a share of the investment</w:t>
      </w:r>
      <w:bookmarkEnd w:id="1"/>
    </w:p>
    <w:p w14:paraId="3757ED43" w14:textId="77777777" w:rsidR="00B43FD5" w:rsidRPr="00B8727B" w:rsidRDefault="00B43FD5" w:rsidP="00B43FD5">
      <w:pPr>
        <w:autoSpaceDE w:val="0"/>
        <w:autoSpaceDN w:val="0"/>
        <w:adjustRightInd w:val="0"/>
        <w:jc w:val="center"/>
        <w:rPr>
          <w:b/>
          <w:bCs/>
          <w:sz w:val="22"/>
          <w:szCs w:val="22"/>
        </w:rPr>
      </w:pPr>
    </w:p>
    <w:p w14:paraId="4335FC81" w14:textId="77777777" w:rsidR="00B43FD5" w:rsidRPr="00B8727B" w:rsidRDefault="00B43FD5" w:rsidP="00B43FD5">
      <w:pPr>
        <w:autoSpaceDE w:val="0"/>
        <w:autoSpaceDN w:val="0"/>
        <w:adjustRightInd w:val="0"/>
        <w:jc w:val="center"/>
        <w:rPr>
          <w:sz w:val="22"/>
          <w:szCs w:val="22"/>
        </w:rPr>
      </w:pPr>
      <w:r w:rsidRPr="0067489C">
        <w:rPr>
          <w:noProof/>
          <w:sz w:val="22"/>
        </w:rPr>
        <w:drawing>
          <wp:inline distT="0" distB="0" distL="0" distR="0" wp14:anchorId="7944B910" wp14:editId="5C7C9EFC">
            <wp:extent cx="3383280" cy="2230755"/>
            <wp:effectExtent l="0" t="0" r="7620" b="0"/>
            <wp:docPr id="41" name="Picture 41" descr="A diagram of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41" name="Picture 41" descr="A diagram of a company&#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bwMode="auto">
                    <a:xfrm>
                      <a:off x="0" y="0"/>
                      <a:ext cx="3383280" cy="2230755"/>
                    </a:xfrm>
                    <a:prstGeom prst="rect">
                      <a:avLst/>
                    </a:prstGeom>
                    <a:noFill/>
                  </pic:spPr>
                </pic:pic>
              </a:graphicData>
            </a:graphic>
          </wp:inline>
        </w:drawing>
      </w:r>
    </w:p>
    <w:p w14:paraId="0924C08D" w14:textId="77777777" w:rsidR="00B43FD5" w:rsidRPr="00B8727B" w:rsidRDefault="00B43FD5" w:rsidP="00B43FD5">
      <w:pPr>
        <w:autoSpaceDE w:val="0"/>
        <w:autoSpaceDN w:val="0"/>
        <w:adjustRightInd w:val="0"/>
        <w:jc w:val="center"/>
        <w:rPr>
          <w:i/>
          <w:iCs/>
          <w:sz w:val="22"/>
          <w:szCs w:val="22"/>
        </w:rPr>
      </w:pPr>
    </w:p>
    <w:p w14:paraId="61FB92F9" w14:textId="77777777" w:rsidR="00B43FD5" w:rsidRPr="00B8727B" w:rsidRDefault="00B43FD5" w:rsidP="00B43FD5">
      <w:pPr>
        <w:autoSpaceDE w:val="0"/>
        <w:autoSpaceDN w:val="0"/>
        <w:adjustRightInd w:val="0"/>
        <w:jc w:val="center"/>
        <w:rPr>
          <w:i/>
          <w:iCs/>
          <w:sz w:val="20"/>
          <w:szCs w:val="20"/>
        </w:rPr>
      </w:pPr>
      <w:r w:rsidRPr="00B8727B">
        <w:rPr>
          <w:i/>
          <w:iCs/>
          <w:sz w:val="20"/>
          <w:szCs w:val="20"/>
        </w:rPr>
        <w:t xml:space="preserve">Notes: </w:t>
      </w:r>
      <w:proofErr w:type="spellStart"/>
      <w:r w:rsidRPr="00B8727B">
        <w:rPr>
          <w:sz w:val="20"/>
          <w:szCs w:val="20"/>
        </w:rPr>
        <w:t>MoME</w:t>
      </w:r>
      <w:proofErr w:type="spellEnd"/>
      <w:r w:rsidRPr="00B8727B">
        <w:rPr>
          <w:sz w:val="20"/>
          <w:szCs w:val="20"/>
        </w:rPr>
        <w:t>: Ministry of Mining and Energy; SFH: single-family house; LSGU: Local self-government unit.</w:t>
      </w:r>
    </w:p>
    <w:p w14:paraId="0B424BAD" w14:textId="77777777" w:rsidR="00B43FD5" w:rsidRPr="00B8727B" w:rsidRDefault="00B43FD5" w:rsidP="00B43FD5">
      <w:pPr>
        <w:autoSpaceDE w:val="0"/>
        <w:autoSpaceDN w:val="0"/>
        <w:adjustRightInd w:val="0"/>
        <w:jc w:val="center"/>
        <w:rPr>
          <w:sz w:val="20"/>
          <w:szCs w:val="20"/>
        </w:rPr>
      </w:pPr>
      <w:r w:rsidRPr="00B8727B">
        <w:rPr>
          <w:i/>
          <w:iCs/>
          <w:sz w:val="20"/>
          <w:szCs w:val="20"/>
        </w:rPr>
        <w:t>Source:</w:t>
      </w:r>
      <w:r w:rsidRPr="00B8727B">
        <w:rPr>
          <w:sz w:val="20"/>
          <w:szCs w:val="20"/>
        </w:rPr>
        <w:t xml:space="preserve"> World Bank staff.</w:t>
      </w:r>
    </w:p>
    <w:p w14:paraId="095DF0EF" w14:textId="69AA7074" w:rsidR="00B43FD5" w:rsidRDefault="00B43FD5" w:rsidP="00B43FD5">
      <w:pPr>
        <w:jc w:val="both"/>
        <w:rPr>
          <w:color w:val="000000" w:themeColor="text1"/>
          <w:sz w:val="22"/>
          <w:szCs w:val="22"/>
        </w:rPr>
      </w:pPr>
      <w:r w:rsidRPr="00D47EB4">
        <w:rPr>
          <w:color w:val="000000" w:themeColor="text1"/>
          <w:sz w:val="22"/>
          <w:szCs w:val="22"/>
        </w:rPr>
        <w:t xml:space="preserve">The </w:t>
      </w:r>
      <w:proofErr w:type="spellStart"/>
      <w:r w:rsidRPr="00D47EB4">
        <w:rPr>
          <w:color w:val="000000" w:themeColor="text1"/>
          <w:sz w:val="22"/>
          <w:szCs w:val="22"/>
        </w:rPr>
        <w:t>MoME</w:t>
      </w:r>
      <w:proofErr w:type="spellEnd"/>
      <w:r w:rsidRPr="00D47EB4">
        <w:rPr>
          <w:color w:val="000000" w:themeColor="text1"/>
          <w:sz w:val="22"/>
          <w:szCs w:val="22"/>
        </w:rPr>
        <w:t xml:space="preserve"> intends to engage a consultant to take on the assignment </w:t>
      </w:r>
      <w:r>
        <w:rPr>
          <w:color w:val="000000" w:themeColor="text1"/>
          <w:sz w:val="22"/>
          <w:szCs w:val="22"/>
        </w:rPr>
        <w:t xml:space="preserve">presented in the </w:t>
      </w:r>
      <w:proofErr w:type="spellStart"/>
      <w:r>
        <w:rPr>
          <w:color w:val="000000" w:themeColor="text1"/>
          <w:sz w:val="22"/>
          <w:szCs w:val="22"/>
        </w:rPr>
        <w:t>ToR</w:t>
      </w:r>
      <w:proofErr w:type="spellEnd"/>
      <w:r>
        <w:rPr>
          <w:color w:val="000000" w:themeColor="text1"/>
          <w:sz w:val="22"/>
          <w:szCs w:val="22"/>
        </w:rPr>
        <w:t xml:space="preserve">. The </w:t>
      </w:r>
      <w:proofErr w:type="spellStart"/>
      <w:r>
        <w:rPr>
          <w:color w:val="000000" w:themeColor="text1"/>
          <w:sz w:val="22"/>
          <w:szCs w:val="22"/>
        </w:rPr>
        <w:t>ToR</w:t>
      </w:r>
      <w:proofErr w:type="spellEnd"/>
      <w:r>
        <w:rPr>
          <w:color w:val="000000" w:themeColor="text1"/>
          <w:sz w:val="22"/>
          <w:szCs w:val="22"/>
        </w:rPr>
        <w:t xml:space="preserve"> also define the scope of responsibilities of the prospective Technical Expert</w:t>
      </w:r>
      <w:r w:rsidR="00E41F78">
        <w:rPr>
          <w:color w:val="000000" w:themeColor="text1"/>
          <w:sz w:val="22"/>
          <w:szCs w:val="22"/>
        </w:rPr>
        <w:t xml:space="preserve"> </w:t>
      </w:r>
      <w:r w:rsidR="00E41F78" w:rsidRPr="00E41F78">
        <w:rPr>
          <w:color w:val="000000" w:themeColor="text1"/>
          <w:sz w:val="22"/>
          <w:szCs w:val="22"/>
        </w:rPr>
        <w:t>(</w:t>
      </w:r>
      <w:r w:rsidR="00580340">
        <w:rPr>
          <w:color w:val="000000" w:themeColor="text1"/>
          <w:sz w:val="22"/>
          <w:szCs w:val="22"/>
        </w:rPr>
        <w:t>Mechanical</w:t>
      </w:r>
      <w:r w:rsidR="00C35E53">
        <w:rPr>
          <w:color w:val="000000" w:themeColor="text1"/>
          <w:sz w:val="22"/>
          <w:szCs w:val="22"/>
        </w:rPr>
        <w:t>/</w:t>
      </w:r>
      <w:r w:rsidR="008B0C1C">
        <w:rPr>
          <w:color w:val="000000" w:themeColor="text1"/>
          <w:sz w:val="22"/>
          <w:szCs w:val="22"/>
        </w:rPr>
        <w:t>Architectural</w:t>
      </w:r>
      <w:r w:rsidR="00790DCF">
        <w:rPr>
          <w:color w:val="000000" w:themeColor="text1"/>
          <w:sz w:val="22"/>
          <w:szCs w:val="22"/>
        </w:rPr>
        <w:t>/Civil</w:t>
      </w:r>
      <w:r w:rsidR="00E41F78" w:rsidRPr="00E41F78">
        <w:rPr>
          <w:color w:val="000000" w:themeColor="text1"/>
          <w:sz w:val="22"/>
          <w:szCs w:val="22"/>
        </w:rPr>
        <w:t xml:space="preserve"> Engineer)</w:t>
      </w:r>
      <w:r>
        <w:rPr>
          <w:color w:val="000000" w:themeColor="text1"/>
          <w:sz w:val="22"/>
          <w:szCs w:val="22"/>
        </w:rPr>
        <w:t xml:space="preserve"> (“Consultant”). </w:t>
      </w:r>
      <w:r w:rsidRPr="00D47EB4">
        <w:rPr>
          <w:color w:val="000000" w:themeColor="text1"/>
          <w:sz w:val="22"/>
          <w:szCs w:val="22"/>
        </w:rPr>
        <w:t>A part of the proceeds of the IBRD loan will be used for financing the proposed consultancy assignment...</w:t>
      </w:r>
    </w:p>
    <w:p w14:paraId="73F0C66E" w14:textId="77777777" w:rsidR="00B43FD5" w:rsidRPr="00D47EB4" w:rsidRDefault="00B43FD5" w:rsidP="00B43FD5">
      <w:pPr>
        <w:jc w:val="both"/>
        <w:rPr>
          <w:color w:val="000000" w:themeColor="text1"/>
          <w:sz w:val="22"/>
          <w:szCs w:val="22"/>
        </w:rPr>
      </w:pPr>
    </w:p>
    <w:p w14:paraId="76F96058" w14:textId="77777777" w:rsidR="00B43FD5" w:rsidRPr="00D47EB4" w:rsidRDefault="00B43FD5" w:rsidP="00B43FD5">
      <w:pPr>
        <w:pStyle w:val="Heading2"/>
      </w:pPr>
      <w:r w:rsidRPr="00D47EB4">
        <w:t>Objective of the assignment</w:t>
      </w:r>
    </w:p>
    <w:p w14:paraId="57F20FDF" w14:textId="77777777" w:rsidR="00B43FD5" w:rsidRPr="00D47EB4" w:rsidRDefault="00B43FD5" w:rsidP="00B43FD5">
      <w:pPr>
        <w:spacing w:line="23" w:lineRule="atLeast"/>
        <w:jc w:val="both"/>
        <w:rPr>
          <w:rFonts w:eastAsia="Calibri"/>
          <w:sz w:val="22"/>
          <w:szCs w:val="22"/>
        </w:rPr>
      </w:pPr>
    </w:p>
    <w:p w14:paraId="7C57BA3F" w14:textId="77777777" w:rsidR="00B43FD5" w:rsidRPr="00B8727B" w:rsidRDefault="00B43FD5" w:rsidP="00B43FD5">
      <w:pPr>
        <w:spacing w:line="23" w:lineRule="atLeast"/>
        <w:jc w:val="both"/>
        <w:rPr>
          <w:rFonts w:eastAsia="Calibri"/>
          <w:sz w:val="22"/>
          <w:szCs w:val="22"/>
        </w:rPr>
      </w:pPr>
      <w:r w:rsidRPr="00B8727B">
        <w:rPr>
          <w:rFonts w:eastAsia="Calibri"/>
          <w:sz w:val="22"/>
          <w:szCs w:val="22"/>
        </w:rPr>
        <w:t>The objective of this assignment is to lead and coordinate engineering and technical aspects of the activities implemented under the Project.</w:t>
      </w:r>
    </w:p>
    <w:p w14:paraId="4C90F3BA" w14:textId="77777777" w:rsidR="00B43FD5" w:rsidRPr="00B8727B" w:rsidRDefault="00B43FD5" w:rsidP="00B43FD5">
      <w:pPr>
        <w:spacing w:line="23" w:lineRule="atLeast"/>
        <w:jc w:val="both"/>
        <w:rPr>
          <w:rFonts w:eastAsia="Calibri"/>
          <w:sz w:val="22"/>
          <w:szCs w:val="22"/>
        </w:rPr>
      </w:pPr>
    </w:p>
    <w:p w14:paraId="6FE315B0" w14:textId="77777777" w:rsidR="00B43FD5" w:rsidRPr="00D47EB4" w:rsidRDefault="00B43FD5" w:rsidP="00B43FD5">
      <w:pPr>
        <w:pStyle w:val="Heading2"/>
      </w:pPr>
      <w:r w:rsidRPr="00D47EB4">
        <w:t>Scope of Work</w:t>
      </w:r>
    </w:p>
    <w:p w14:paraId="75C3E916" w14:textId="77777777" w:rsidR="00B43FD5" w:rsidRPr="00B8727B" w:rsidRDefault="00B43FD5" w:rsidP="00B43FD5"/>
    <w:p w14:paraId="77D1DD69" w14:textId="77777777" w:rsidR="00B43FD5" w:rsidRPr="00B8727B" w:rsidRDefault="00B43FD5" w:rsidP="00B43FD5">
      <w:pPr>
        <w:jc w:val="both"/>
      </w:pPr>
      <w:r w:rsidRPr="00B8727B">
        <w:rPr>
          <w:color w:val="000000" w:themeColor="text1"/>
          <w:sz w:val="22"/>
          <w:szCs w:val="22"/>
        </w:rPr>
        <w:t xml:space="preserve">The role of the </w:t>
      </w:r>
      <w:r w:rsidRPr="00490383">
        <w:rPr>
          <w:color w:val="000000" w:themeColor="text1"/>
          <w:sz w:val="22"/>
          <w:szCs w:val="22"/>
        </w:rPr>
        <w:t xml:space="preserve">Consultant </w:t>
      </w:r>
      <w:r w:rsidRPr="00B8727B">
        <w:rPr>
          <w:color w:val="000000" w:themeColor="text1"/>
          <w:sz w:val="22"/>
          <w:szCs w:val="22"/>
        </w:rPr>
        <w:t xml:space="preserve">will be to monitor the technical and engineering aspects of interventions under the Project, including building retrofits and other related services. The </w:t>
      </w:r>
      <w:r w:rsidRPr="00490383">
        <w:rPr>
          <w:color w:val="000000" w:themeColor="text1"/>
          <w:sz w:val="22"/>
          <w:szCs w:val="22"/>
        </w:rPr>
        <w:t xml:space="preserve">Consultant </w:t>
      </w:r>
      <w:r w:rsidRPr="00B8727B">
        <w:rPr>
          <w:color w:val="000000" w:themeColor="text1"/>
          <w:sz w:val="22"/>
          <w:szCs w:val="22"/>
        </w:rPr>
        <w:t>will assist the PIU Head in implementation of the Project (including team management, coordination of activities, and communication with stakeholders) in collaboration with other PIUs experts, LSGUs, the World Bank team and consulting firms, which will be hired by the PIU for a series of associated activities (</w:t>
      </w:r>
      <w:proofErr w:type="spellStart"/>
      <w:r w:rsidRPr="00B8727B">
        <w:rPr>
          <w:color w:val="000000" w:themeColor="text1"/>
          <w:sz w:val="22"/>
          <w:szCs w:val="22"/>
        </w:rPr>
        <w:t>eg</w:t>
      </w:r>
      <w:proofErr w:type="spellEnd"/>
      <w:r w:rsidRPr="00B8727B">
        <w:rPr>
          <w:color w:val="000000" w:themeColor="text1"/>
          <w:sz w:val="22"/>
          <w:szCs w:val="22"/>
        </w:rPr>
        <w:t xml:space="preserve">, outreach, IT tools, monitoring and evaluation). </w:t>
      </w:r>
    </w:p>
    <w:p w14:paraId="4927FF0D" w14:textId="77777777" w:rsidR="00B43FD5" w:rsidRPr="00B8727B" w:rsidRDefault="00B43FD5" w:rsidP="00B43FD5">
      <w:pPr>
        <w:ind w:firstLine="567"/>
        <w:jc w:val="both"/>
      </w:pPr>
      <w:r w:rsidRPr="00B8727B">
        <w:rPr>
          <w:color w:val="000000" w:themeColor="text1"/>
          <w:sz w:val="22"/>
          <w:szCs w:val="22"/>
        </w:rPr>
        <w:t xml:space="preserve"> </w:t>
      </w:r>
    </w:p>
    <w:p w14:paraId="1E7083F2" w14:textId="77777777" w:rsidR="00B43FD5" w:rsidRPr="00B8727B" w:rsidRDefault="00B43FD5" w:rsidP="00B43FD5">
      <w:pPr>
        <w:jc w:val="both"/>
        <w:rPr>
          <w:color w:val="000000" w:themeColor="text1"/>
          <w:sz w:val="22"/>
          <w:szCs w:val="22"/>
        </w:rPr>
      </w:pPr>
      <w:r w:rsidRPr="00B8727B">
        <w:rPr>
          <w:color w:val="000000" w:themeColor="text1"/>
          <w:sz w:val="22"/>
          <w:szCs w:val="22"/>
        </w:rPr>
        <w:t xml:space="preserve">The </w:t>
      </w:r>
      <w:r w:rsidRPr="00490383">
        <w:rPr>
          <w:color w:val="000000" w:themeColor="text1"/>
          <w:sz w:val="22"/>
          <w:szCs w:val="22"/>
        </w:rPr>
        <w:t>Consultant</w:t>
      </w:r>
      <w:r w:rsidRPr="00B8727B">
        <w:rPr>
          <w:color w:val="000000" w:themeColor="text1"/>
          <w:sz w:val="22"/>
          <w:szCs w:val="22"/>
        </w:rPr>
        <w:t xml:space="preserve"> main tasks will be to provide technical direction, guidance and support to enable scale up of investments under the Project, while complying with the parameters the project has defined for the designs, technical specifications and implementation quality of clean energy measures at SFH level. The </w:t>
      </w:r>
      <w:r w:rsidRPr="00490383">
        <w:rPr>
          <w:color w:val="000000" w:themeColor="text1"/>
          <w:sz w:val="22"/>
          <w:szCs w:val="22"/>
        </w:rPr>
        <w:t xml:space="preserve">Consultant </w:t>
      </w:r>
      <w:r w:rsidRPr="00B8727B">
        <w:rPr>
          <w:color w:val="000000" w:themeColor="text1"/>
          <w:sz w:val="22"/>
          <w:szCs w:val="22"/>
        </w:rPr>
        <w:t xml:space="preserve">will also contribute to the standardization of approaches across LSGUs to increase the efficiency of program roll-out and contribute to the completion of works within approved budget and time to the satisfaction of the building owner, the LSGU, </w:t>
      </w:r>
      <w:proofErr w:type="spellStart"/>
      <w:r w:rsidRPr="00B8727B">
        <w:rPr>
          <w:color w:val="000000" w:themeColor="text1"/>
          <w:sz w:val="22"/>
          <w:szCs w:val="22"/>
        </w:rPr>
        <w:t>MoME</w:t>
      </w:r>
      <w:proofErr w:type="spellEnd"/>
      <w:r w:rsidRPr="00B8727B">
        <w:rPr>
          <w:color w:val="000000" w:themeColor="text1"/>
          <w:sz w:val="22"/>
          <w:szCs w:val="22"/>
        </w:rPr>
        <w:t xml:space="preserve"> and the World Bank. </w:t>
      </w:r>
    </w:p>
    <w:p w14:paraId="5D8295CE" w14:textId="77777777" w:rsidR="00B43FD5" w:rsidRPr="00B8727B" w:rsidRDefault="00B43FD5" w:rsidP="00B43FD5">
      <w:pPr>
        <w:jc w:val="both"/>
        <w:rPr>
          <w:color w:val="000000" w:themeColor="text1"/>
          <w:sz w:val="22"/>
          <w:szCs w:val="22"/>
        </w:rPr>
      </w:pPr>
    </w:p>
    <w:p w14:paraId="75B9F732" w14:textId="77777777" w:rsidR="00B43FD5" w:rsidRPr="00B8727B" w:rsidRDefault="00B43FD5" w:rsidP="00B43FD5">
      <w:pPr>
        <w:jc w:val="both"/>
      </w:pPr>
      <w:r w:rsidRPr="00B8727B">
        <w:rPr>
          <w:color w:val="000000" w:themeColor="text1"/>
          <w:sz w:val="22"/>
          <w:szCs w:val="22"/>
        </w:rPr>
        <w:t xml:space="preserve">The activities to be performed by the </w:t>
      </w:r>
      <w:r>
        <w:rPr>
          <w:color w:val="000000" w:themeColor="text1"/>
          <w:sz w:val="22"/>
          <w:szCs w:val="22"/>
        </w:rPr>
        <w:t>Consultant</w:t>
      </w:r>
      <w:r w:rsidRPr="00073B64">
        <w:rPr>
          <w:color w:val="000000" w:themeColor="text1"/>
          <w:sz w:val="22"/>
          <w:szCs w:val="22"/>
        </w:rPr>
        <w:t xml:space="preserve"> </w:t>
      </w:r>
      <w:r w:rsidRPr="00B8727B">
        <w:rPr>
          <w:color w:val="000000" w:themeColor="text1"/>
          <w:sz w:val="22"/>
          <w:szCs w:val="22"/>
        </w:rPr>
        <w:t>include but are not limited to the following:</w:t>
      </w:r>
    </w:p>
    <w:p w14:paraId="7A4D2090" w14:textId="74E0D6C0" w:rsidR="00B43FD5" w:rsidRDefault="00B43FD5" w:rsidP="00B43FD5">
      <w:pPr>
        <w:pStyle w:val="ListParagraph"/>
        <w:numPr>
          <w:ilvl w:val="0"/>
          <w:numId w:val="2"/>
        </w:numPr>
        <w:jc w:val="both"/>
        <w:rPr>
          <w:sz w:val="22"/>
          <w:szCs w:val="22"/>
        </w:rPr>
      </w:pPr>
      <w:r>
        <w:rPr>
          <w:sz w:val="22"/>
          <w:szCs w:val="22"/>
        </w:rPr>
        <w:t>Assist the Senior Engineer in p</w:t>
      </w:r>
      <w:r w:rsidRPr="00B8727B">
        <w:rPr>
          <w:sz w:val="22"/>
          <w:szCs w:val="22"/>
        </w:rPr>
        <w:t>rovid</w:t>
      </w:r>
      <w:r>
        <w:rPr>
          <w:sz w:val="22"/>
          <w:szCs w:val="22"/>
        </w:rPr>
        <w:t>ing</w:t>
      </w:r>
      <w:r w:rsidRPr="00B8727B">
        <w:rPr>
          <w:sz w:val="22"/>
          <w:szCs w:val="22"/>
        </w:rPr>
        <w:t xml:space="preserve"> technical support to LSGUs (</w:t>
      </w:r>
      <w:proofErr w:type="spellStart"/>
      <w:r w:rsidRPr="00B8727B">
        <w:rPr>
          <w:sz w:val="22"/>
          <w:szCs w:val="22"/>
        </w:rPr>
        <w:t>i</w:t>
      </w:r>
      <w:proofErr w:type="spellEnd"/>
      <w:r w:rsidRPr="00B8727B">
        <w:rPr>
          <w:sz w:val="22"/>
          <w:szCs w:val="22"/>
        </w:rPr>
        <w:t xml:space="preserve">) to follow Project implementation procedures; (ii) to verify eligible sub-projects </w:t>
      </w:r>
      <w:proofErr w:type="spellStart"/>
      <w:r w:rsidR="0076651A" w:rsidRPr="00F37C72">
        <w:rPr>
          <w:sz w:val="22"/>
          <w:szCs w:val="22"/>
        </w:rPr>
        <w:t>in</w:t>
      </w:r>
      <w:r w:rsidR="000131F2">
        <w:rPr>
          <w:sz w:val="22"/>
          <w:szCs w:val="22"/>
        </w:rPr>
        <w:t>cluding</w:t>
      </w:r>
      <w:r w:rsidR="0076651A" w:rsidRPr="00F37C72">
        <w:rPr>
          <w:sz w:val="22"/>
          <w:szCs w:val="22"/>
        </w:rPr>
        <w:t>thermal</w:t>
      </w:r>
      <w:proofErr w:type="spellEnd"/>
      <w:r w:rsidR="0076651A" w:rsidRPr="00F37C72">
        <w:rPr>
          <w:sz w:val="22"/>
          <w:szCs w:val="22"/>
        </w:rPr>
        <w:t xml:space="preserve"> envelope </w:t>
      </w:r>
      <w:r w:rsidR="00286B21" w:rsidRPr="00B8727B">
        <w:rPr>
          <w:sz w:val="22"/>
          <w:szCs w:val="22"/>
        </w:rPr>
        <w:t>renovation, boiler replacement and rooftop solar PV (RSPV)</w:t>
      </w:r>
      <w:r w:rsidRPr="00B8727B">
        <w:rPr>
          <w:sz w:val="22"/>
          <w:szCs w:val="22"/>
        </w:rPr>
        <w:t xml:space="preserve">; (iii) to monitor implementation </w:t>
      </w:r>
      <w:r w:rsidRPr="00B8727B">
        <w:rPr>
          <w:sz w:val="22"/>
          <w:szCs w:val="22"/>
        </w:rPr>
        <w:lastRenderedPageBreak/>
        <w:t>of the project with a focus on technical aspects; and (iv) verify energy savings of implemented sub-project contracts on a sample basis.</w:t>
      </w:r>
    </w:p>
    <w:p w14:paraId="42099874" w14:textId="6F88EFF5" w:rsidR="0047213D" w:rsidRPr="00B8727B" w:rsidRDefault="00C17A2F" w:rsidP="00B43FD5">
      <w:pPr>
        <w:pStyle w:val="ListParagraph"/>
        <w:numPr>
          <w:ilvl w:val="0"/>
          <w:numId w:val="2"/>
        </w:numPr>
        <w:jc w:val="both"/>
        <w:rPr>
          <w:sz w:val="22"/>
          <w:szCs w:val="22"/>
        </w:rPr>
      </w:pPr>
      <w:r w:rsidRPr="00F37C72">
        <w:rPr>
          <w:sz w:val="22"/>
          <w:szCs w:val="22"/>
        </w:rPr>
        <w:t>Performing energy audits and reviewing issued building performance certificates</w:t>
      </w:r>
      <w:r w:rsidR="001A4CF8">
        <w:rPr>
          <w:sz w:val="22"/>
          <w:szCs w:val="22"/>
        </w:rPr>
        <w:t>;</w:t>
      </w:r>
    </w:p>
    <w:p w14:paraId="7BE727A0" w14:textId="77777777" w:rsidR="00B43FD5" w:rsidRPr="00B8727B" w:rsidRDefault="00B43FD5" w:rsidP="00B43FD5">
      <w:pPr>
        <w:pStyle w:val="ListParagraph"/>
        <w:numPr>
          <w:ilvl w:val="0"/>
          <w:numId w:val="2"/>
        </w:numPr>
        <w:jc w:val="both"/>
        <w:rPr>
          <w:sz w:val="22"/>
          <w:szCs w:val="22"/>
        </w:rPr>
      </w:pPr>
      <w:r>
        <w:rPr>
          <w:sz w:val="22"/>
          <w:szCs w:val="22"/>
        </w:rPr>
        <w:t>C</w:t>
      </w:r>
      <w:r w:rsidRPr="00B8727B">
        <w:rPr>
          <w:sz w:val="22"/>
          <w:szCs w:val="22"/>
        </w:rPr>
        <w:t>onsult with local and international technical experts on implementation progress and coordinate on specific energy efficiency and sustainable energy issues.</w:t>
      </w:r>
    </w:p>
    <w:p w14:paraId="6DE813F1" w14:textId="77777777" w:rsidR="00B43FD5" w:rsidRPr="00B8727B" w:rsidRDefault="00B43FD5" w:rsidP="00B43FD5">
      <w:pPr>
        <w:pStyle w:val="ListParagraph"/>
        <w:numPr>
          <w:ilvl w:val="0"/>
          <w:numId w:val="2"/>
        </w:numPr>
        <w:jc w:val="both"/>
        <w:rPr>
          <w:sz w:val="22"/>
          <w:szCs w:val="22"/>
        </w:rPr>
      </w:pPr>
      <w:r>
        <w:rPr>
          <w:sz w:val="22"/>
          <w:szCs w:val="22"/>
        </w:rPr>
        <w:t>Assist the Senior Engineer in m</w:t>
      </w:r>
      <w:r w:rsidRPr="00B8727B">
        <w:rPr>
          <w:sz w:val="22"/>
          <w:szCs w:val="22"/>
        </w:rPr>
        <w:t>onitor</w:t>
      </w:r>
      <w:r>
        <w:rPr>
          <w:sz w:val="22"/>
          <w:szCs w:val="22"/>
        </w:rPr>
        <w:t>ing</w:t>
      </w:r>
      <w:r w:rsidRPr="00B8727B">
        <w:rPr>
          <w:sz w:val="22"/>
          <w:szCs w:val="22"/>
        </w:rPr>
        <w:t xml:space="preserve"> compliance with implementation arrangements, including assessment of status of civil works contracts, timely commencement and completion of works.</w:t>
      </w:r>
    </w:p>
    <w:p w14:paraId="7B51F743" w14:textId="77777777" w:rsidR="00B43FD5" w:rsidRPr="000E2E56" w:rsidRDefault="00B43FD5" w:rsidP="00B43FD5">
      <w:pPr>
        <w:pStyle w:val="ListParagraph"/>
        <w:numPr>
          <w:ilvl w:val="0"/>
          <w:numId w:val="2"/>
        </w:numPr>
        <w:jc w:val="both"/>
        <w:rPr>
          <w:sz w:val="22"/>
          <w:szCs w:val="22"/>
        </w:rPr>
      </w:pPr>
      <w:r>
        <w:rPr>
          <w:sz w:val="22"/>
          <w:szCs w:val="22"/>
        </w:rPr>
        <w:t>M</w:t>
      </w:r>
      <w:r w:rsidRPr="00B8727B">
        <w:rPr>
          <w:sz w:val="22"/>
          <w:szCs w:val="22"/>
        </w:rPr>
        <w:t xml:space="preserve">onitoring of the qualification and selection process of </w:t>
      </w:r>
      <w:r w:rsidRPr="000E2E56">
        <w:rPr>
          <w:sz w:val="22"/>
          <w:szCs w:val="22"/>
        </w:rPr>
        <w:t xml:space="preserve">supply contractors including the provision of </w:t>
      </w:r>
      <w:r w:rsidRPr="00F37C72">
        <w:rPr>
          <w:sz w:val="22"/>
          <w:szCs w:val="22"/>
        </w:rPr>
        <w:t xml:space="preserve">evidence for quality of materials and equipment (certificates, laboratory reports, </w:t>
      </w:r>
      <w:proofErr w:type="spellStart"/>
      <w:r w:rsidRPr="00F37C72">
        <w:rPr>
          <w:sz w:val="22"/>
          <w:szCs w:val="22"/>
        </w:rPr>
        <w:t>etc</w:t>
      </w:r>
      <w:proofErr w:type="spellEnd"/>
      <w:r w:rsidRPr="00F37C72">
        <w:rPr>
          <w:sz w:val="22"/>
          <w:szCs w:val="22"/>
        </w:rPr>
        <w:t xml:space="preserve">). </w:t>
      </w:r>
    </w:p>
    <w:p w14:paraId="1287C924" w14:textId="77777777" w:rsidR="00B43FD5" w:rsidRPr="00B8727B" w:rsidRDefault="00B43FD5" w:rsidP="00B43FD5">
      <w:pPr>
        <w:pStyle w:val="ListParagraph"/>
        <w:numPr>
          <w:ilvl w:val="0"/>
          <w:numId w:val="2"/>
        </w:numPr>
        <w:jc w:val="both"/>
        <w:rPr>
          <w:sz w:val="22"/>
          <w:szCs w:val="22"/>
        </w:rPr>
      </w:pPr>
      <w:r>
        <w:rPr>
          <w:sz w:val="22"/>
          <w:szCs w:val="22"/>
          <w:lang w:val="sr-Latn-RS"/>
        </w:rPr>
        <w:t xml:space="preserve">Monitor </w:t>
      </w:r>
      <w:r w:rsidRPr="00B8727B">
        <w:rPr>
          <w:sz w:val="22"/>
          <w:szCs w:val="22"/>
        </w:rPr>
        <w:t>compliance with pre-qualified materials and equipment included in project specifications.</w:t>
      </w:r>
    </w:p>
    <w:p w14:paraId="7E3C3108" w14:textId="1816A57E" w:rsidR="00B43FD5" w:rsidRPr="00B8727B" w:rsidRDefault="00B43FD5" w:rsidP="00B43FD5">
      <w:pPr>
        <w:pStyle w:val="ListParagraph"/>
        <w:numPr>
          <w:ilvl w:val="0"/>
          <w:numId w:val="2"/>
        </w:numPr>
        <w:jc w:val="both"/>
        <w:rPr>
          <w:sz w:val="22"/>
          <w:szCs w:val="22"/>
        </w:rPr>
      </w:pPr>
      <w:r>
        <w:rPr>
          <w:sz w:val="22"/>
          <w:szCs w:val="22"/>
        </w:rPr>
        <w:t>Assist the Senior Engineer to d</w:t>
      </w:r>
      <w:r w:rsidRPr="00B8727B">
        <w:rPr>
          <w:sz w:val="22"/>
          <w:szCs w:val="22"/>
        </w:rPr>
        <w:t>evelop site inspection and monitoring routines</w:t>
      </w:r>
      <w:r w:rsidR="00931369" w:rsidRPr="00F37C72">
        <w:rPr>
          <w:sz w:val="22"/>
          <w:szCs w:val="22"/>
        </w:rPr>
        <w:t> </w:t>
      </w:r>
      <w:r w:rsidR="00234E15">
        <w:rPr>
          <w:sz w:val="22"/>
          <w:szCs w:val="22"/>
        </w:rPr>
        <w:t xml:space="preserve"> </w:t>
      </w:r>
      <w:r w:rsidRPr="00B8727B">
        <w:rPr>
          <w:sz w:val="22"/>
          <w:szCs w:val="22"/>
        </w:rPr>
        <w:t xml:space="preserve"> for completed sub-projects and assist LSGU experts in implementing these routines where needed.</w:t>
      </w:r>
    </w:p>
    <w:p w14:paraId="663200A2" w14:textId="77777777" w:rsidR="00B43FD5" w:rsidRPr="00B8727B" w:rsidRDefault="00B43FD5" w:rsidP="00B43FD5">
      <w:pPr>
        <w:pStyle w:val="ListParagraph"/>
        <w:numPr>
          <w:ilvl w:val="0"/>
          <w:numId w:val="2"/>
        </w:numPr>
        <w:jc w:val="both"/>
        <w:rPr>
          <w:sz w:val="22"/>
          <w:szCs w:val="22"/>
        </w:rPr>
      </w:pPr>
      <w:r w:rsidRPr="00B8727B">
        <w:rPr>
          <w:sz w:val="22"/>
          <w:szCs w:val="22"/>
        </w:rPr>
        <w:t>From time to time, spot-check of building sub-project sites in order to validate that supply and installation of equipment and materials are in compliance with all conditions and requirements, stipulated in contracts, and they comply with the specification’s requirements and the rulebook. This may comprise visual check of quality / dimensions of material and equipment. Establish for cases of discrepancy a protocol for testing of goods/equipment and its requalification.</w:t>
      </w:r>
    </w:p>
    <w:p w14:paraId="274F2317" w14:textId="77777777" w:rsidR="00B43FD5" w:rsidRPr="00B8727B" w:rsidRDefault="00B43FD5" w:rsidP="00B43FD5">
      <w:pPr>
        <w:pStyle w:val="ListParagraph"/>
        <w:numPr>
          <w:ilvl w:val="0"/>
          <w:numId w:val="2"/>
        </w:numPr>
        <w:jc w:val="both"/>
        <w:rPr>
          <w:sz w:val="22"/>
          <w:szCs w:val="22"/>
        </w:rPr>
      </w:pPr>
      <w:r w:rsidRPr="00B8727B">
        <w:rPr>
          <w:sz w:val="22"/>
          <w:szCs w:val="22"/>
        </w:rPr>
        <w:t>Establish efficient procedures for verifying contractor performance and reporting progress, including timely and quality control reports, and quantity survey records.</w:t>
      </w:r>
    </w:p>
    <w:p w14:paraId="2201F3D6" w14:textId="64400029" w:rsidR="00B43FD5" w:rsidRPr="00B8727B" w:rsidRDefault="00B43FD5" w:rsidP="00B43FD5">
      <w:pPr>
        <w:pStyle w:val="ListParagraph"/>
        <w:numPr>
          <w:ilvl w:val="0"/>
          <w:numId w:val="2"/>
        </w:numPr>
        <w:jc w:val="both"/>
        <w:rPr>
          <w:sz w:val="22"/>
          <w:szCs w:val="22"/>
        </w:rPr>
      </w:pPr>
      <w:r>
        <w:rPr>
          <w:sz w:val="22"/>
          <w:szCs w:val="22"/>
        </w:rPr>
        <w:t>Assist the Senior Engineer to m</w:t>
      </w:r>
      <w:r w:rsidRPr="00B8727B">
        <w:rPr>
          <w:sz w:val="22"/>
          <w:szCs w:val="22"/>
        </w:rPr>
        <w:t>onitor and analyze the program-level impact of buildings retrofits, review monitoring reports of LSGUs, and check compliance with projected energy and GHG emissions savings.</w:t>
      </w:r>
      <w:r w:rsidR="00703DED">
        <w:rPr>
          <w:sz w:val="22"/>
          <w:szCs w:val="22"/>
        </w:rPr>
        <w:t xml:space="preserve"> </w:t>
      </w:r>
      <w:r w:rsidR="00DE1038">
        <w:rPr>
          <w:sz w:val="22"/>
          <w:szCs w:val="22"/>
        </w:rPr>
        <w:t>M</w:t>
      </w:r>
      <w:r w:rsidR="00703DED" w:rsidRPr="00F37C72">
        <w:rPr>
          <w:sz w:val="22"/>
          <w:szCs w:val="22"/>
        </w:rPr>
        <w:t>onitoring the level of energy savings and reduction of CO</w:t>
      </w:r>
      <w:r w:rsidR="00703DED" w:rsidRPr="00F37C72">
        <w:rPr>
          <w:sz w:val="22"/>
          <w:szCs w:val="22"/>
          <w:vertAlign w:val="subscript"/>
        </w:rPr>
        <w:t>2</w:t>
      </w:r>
      <w:r w:rsidR="00703DED" w:rsidRPr="00F37C72">
        <w:rPr>
          <w:sz w:val="22"/>
          <w:szCs w:val="22"/>
        </w:rPr>
        <w:t xml:space="preserve"> </w:t>
      </w:r>
      <w:proofErr w:type="gramStart"/>
      <w:r w:rsidR="00703DED" w:rsidRPr="00F37C72">
        <w:rPr>
          <w:sz w:val="22"/>
          <w:szCs w:val="22"/>
        </w:rPr>
        <w:t>emissions ,</w:t>
      </w:r>
      <w:proofErr w:type="gramEnd"/>
      <w:r w:rsidR="00703DED" w:rsidRPr="00F37C72">
        <w:rPr>
          <w:sz w:val="22"/>
          <w:szCs w:val="22"/>
        </w:rPr>
        <w:t xml:space="preserve"> as well as their share in the entire Project</w:t>
      </w:r>
      <w:r w:rsidR="00703DED">
        <w:rPr>
          <w:sz w:val="22"/>
          <w:szCs w:val="22"/>
        </w:rPr>
        <w:t>.</w:t>
      </w:r>
    </w:p>
    <w:p w14:paraId="3FF42159" w14:textId="77777777" w:rsidR="00B43FD5" w:rsidRPr="00B8727B" w:rsidRDefault="00B43FD5" w:rsidP="00B43FD5">
      <w:pPr>
        <w:pStyle w:val="ListParagraph"/>
        <w:numPr>
          <w:ilvl w:val="0"/>
          <w:numId w:val="2"/>
        </w:numPr>
        <w:jc w:val="both"/>
        <w:rPr>
          <w:sz w:val="22"/>
          <w:szCs w:val="22"/>
        </w:rPr>
      </w:pPr>
      <w:r w:rsidRPr="00B8727B">
        <w:rPr>
          <w:sz w:val="22"/>
          <w:szCs w:val="22"/>
        </w:rPr>
        <w:t>Support the IT expert of the PIU to develop and maintain consistency within the project database and program management tools in areas related to (</w:t>
      </w:r>
      <w:proofErr w:type="spellStart"/>
      <w:r w:rsidRPr="00B8727B">
        <w:rPr>
          <w:sz w:val="22"/>
          <w:szCs w:val="22"/>
        </w:rPr>
        <w:t>i</w:t>
      </w:r>
      <w:proofErr w:type="spellEnd"/>
      <w:r w:rsidRPr="00B8727B">
        <w:rPr>
          <w:sz w:val="22"/>
          <w:szCs w:val="22"/>
        </w:rPr>
        <w:t>) technical aspects, such as calculation of energy &amp; emission savings, and (ii) benchmark unit costs for selected equipment and material for building retrofit.</w:t>
      </w:r>
    </w:p>
    <w:p w14:paraId="13B02D8C" w14:textId="77777777" w:rsidR="00B43FD5" w:rsidRPr="00B8727B" w:rsidRDefault="00B43FD5" w:rsidP="00B43FD5">
      <w:pPr>
        <w:pStyle w:val="ListParagraph"/>
        <w:numPr>
          <w:ilvl w:val="0"/>
          <w:numId w:val="2"/>
        </w:numPr>
        <w:jc w:val="both"/>
        <w:rPr>
          <w:sz w:val="22"/>
          <w:szCs w:val="22"/>
        </w:rPr>
      </w:pPr>
      <w:r>
        <w:rPr>
          <w:sz w:val="22"/>
          <w:szCs w:val="22"/>
        </w:rPr>
        <w:t>L</w:t>
      </w:r>
      <w:r w:rsidRPr="00B8727B">
        <w:rPr>
          <w:sz w:val="22"/>
          <w:szCs w:val="22"/>
        </w:rPr>
        <w:t xml:space="preserve">ead the development of technical guidelines to guide SFH household applicants, LSGUs and contractors. </w:t>
      </w:r>
    </w:p>
    <w:p w14:paraId="68D02202" w14:textId="065301E2" w:rsidR="00B43FD5" w:rsidRPr="00B8727B" w:rsidRDefault="00B43FD5" w:rsidP="00B43FD5">
      <w:pPr>
        <w:pStyle w:val="ListParagraph"/>
        <w:numPr>
          <w:ilvl w:val="0"/>
          <w:numId w:val="2"/>
        </w:numPr>
        <w:jc w:val="both"/>
        <w:rPr>
          <w:sz w:val="22"/>
          <w:szCs w:val="22"/>
        </w:rPr>
      </w:pPr>
      <w:r w:rsidRPr="00B8727B">
        <w:rPr>
          <w:sz w:val="22"/>
          <w:szCs w:val="22"/>
        </w:rPr>
        <w:t xml:space="preserve">Assist on technical aspects of program implementation, including future calls for registration of qualified supply contractors. This may comprise </w:t>
      </w:r>
      <w:r>
        <w:rPr>
          <w:sz w:val="22"/>
          <w:szCs w:val="22"/>
        </w:rPr>
        <w:t xml:space="preserve">assistance in </w:t>
      </w:r>
      <w:r w:rsidRPr="00B8727B">
        <w:rPr>
          <w:sz w:val="22"/>
          <w:szCs w:val="22"/>
        </w:rPr>
        <w:t xml:space="preserve">the </w:t>
      </w:r>
      <w:r w:rsidR="002705BF" w:rsidRPr="00B8727B">
        <w:rPr>
          <w:sz w:val="22"/>
          <w:szCs w:val="22"/>
        </w:rPr>
        <w:t>updating</w:t>
      </w:r>
      <w:r w:rsidRPr="00B8727B">
        <w:rPr>
          <w:sz w:val="22"/>
          <w:szCs w:val="22"/>
        </w:rPr>
        <w:t xml:space="preserve"> of rulebooks, technical specification and installation guidelines for contractors.</w:t>
      </w:r>
    </w:p>
    <w:p w14:paraId="13B591E1" w14:textId="77777777" w:rsidR="00B43FD5" w:rsidRPr="00B8727B" w:rsidRDefault="00B43FD5" w:rsidP="00B43FD5">
      <w:pPr>
        <w:pStyle w:val="ListParagraph"/>
        <w:numPr>
          <w:ilvl w:val="0"/>
          <w:numId w:val="2"/>
        </w:numPr>
        <w:jc w:val="both"/>
        <w:rPr>
          <w:sz w:val="22"/>
          <w:szCs w:val="22"/>
        </w:rPr>
      </w:pPr>
      <w:r w:rsidRPr="00B8727B">
        <w:rPr>
          <w:sz w:val="22"/>
          <w:szCs w:val="22"/>
        </w:rPr>
        <w:t>Contribute to capacity building activities, such as training events, provided by the PIU to LSGUs and contractors.</w:t>
      </w:r>
    </w:p>
    <w:p w14:paraId="37AA0E79" w14:textId="77777777" w:rsidR="00B43FD5" w:rsidRPr="00B8727B" w:rsidRDefault="00B43FD5" w:rsidP="00B43FD5">
      <w:pPr>
        <w:pStyle w:val="ListParagraph"/>
        <w:numPr>
          <w:ilvl w:val="0"/>
          <w:numId w:val="2"/>
        </w:numPr>
        <w:jc w:val="both"/>
        <w:rPr>
          <w:sz w:val="22"/>
          <w:szCs w:val="22"/>
        </w:rPr>
      </w:pPr>
      <w:r w:rsidRPr="00B8727B">
        <w:rPr>
          <w:sz w:val="22"/>
          <w:szCs w:val="22"/>
        </w:rPr>
        <w:t>Participate in public events organized by the program and public awareness activities when need for technical input is identified.</w:t>
      </w:r>
    </w:p>
    <w:p w14:paraId="11FA1878" w14:textId="77777777" w:rsidR="00B43FD5" w:rsidRDefault="00B43FD5" w:rsidP="00B43FD5">
      <w:pPr>
        <w:pStyle w:val="ListParagraph"/>
        <w:numPr>
          <w:ilvl w:val="0"/>
          <w:numId w:val="2"/>
        </w:numPr>
        <w:jc w:val="both"/>
        <w:rPr>
          <w:sz w:val="22"/>
          <w:szCs w:val="22"/>
        </w:rPr>
      </w:pPr>
      <w:r w:rsidRPr="00B8727B">
        <w:rPr>
          <w:sz w:val="22"/>
          <w:szCs w:val="22"/>
        </w:rPr>
        <w:t xml:space="preserve">Contribute to periodic program implementation progress reports for submission to </w:t>
      </w:r>
      <w:proofErr w:type="spellStart"/>
      <w:r w:rsidRPr="00B8727B">
        <w:rPr>
          <w:sz w:val="22"/>
          <w:szCs w:val="22"/>
        </w:rPr>
        <w:t>MoME</w:t>
      </w:r>
      <w:proofErr w:type="spellEnd"/>
      <w:r w:rsidRPr="00B8727B">
        <w:rPr>
          <w:sz w:val="22"/>
          <w:szCs w:val="22"/>
        </w:rPr>
        <w:t xml:space="preserve"> and World Bank in accordance with the Project Operation and Grant Manual (POGM), by monitoring and evaluation of technical performance indicators for the project and providing technical information.</w:t>
      </w:r>
    </w:p>
    <w:p w14:paraId="42896545" w14:textId="77777777" w:rsidR="00B43FD5" w:rsidRPr="00B8727B" w:rsidRDefault="00B43FD5" w:rsidP="00B43FD5">
      <w:pPr>
        <w:pStyle w:val="ListParagraph"/>
        <w:numPr>
          <w:ilvl w:val="0"/>
          <w:numId w:val="2"/>
        </w:numPr>
        <w:jc w:val="both"/>
        <w:rPr>
          <w:sz w:val="22"/>
          <w:szCs w:val="22"/>
        </w:rPr>
      </w:pPr>
      <w:r w:rsidRPr="00B8727B">
        <w:rPr>
          <w:sz w:val="22"/>
          <w:szCs w:val="22"/>
        </w:rPr>
        <w:t>Perform other tasks suited for the qualifications of an engineer, as requested by the PIU Head.</w:t>
      </w:r>
    </w:p>
    <w:p w14:paraId="2BFEF251" w14:textId="77777777" w:rsidR="00B43FD5" w:rsidRPr="00B8727B" w:rsidRDefault="00B43FD5" w:rsidP="00B43FD5"/>
    <w:p w14:paraId="6EA2D6A1" w14:textId="77777777" w:rsidR="00B43FD5" w:rsidRPr="00B8727B" w:rsidRDefault="00B43FD5" w:rsidP="00B43FD5">
      <w:pPr>
        <w:pStyle w:val="Heading2"/>
      </w:pPr>
      <w:r w:rsidRPr="00B8727B">
        <w:t>Expected Outputs</w:t>
      </w:r>
    </w:p>
    <w:p w14:paraId="7810CA15" w14:textId="77777777" w:rsidR="00B43FD5" w:rsidRDefault="00B43FD5" w:rsidP="00B43FD5">
      <w:pPr>
        <w:autoSpaceDE w:val="0"/>
        <w:autoSpaceDN w:val="0"/>
        <w:adjustRightInd w:val="0"/>
        <w:jc w:val="both"/>
        <w:rPr>
          <w:sz w:val="22"/>
          <w:szCs w:val="22"/>
        </w:rPr>
      </w:pPr>
    </w:p>
    <w:p w14:paraId="3725818A" w14:textId="77777777" w:rsidR="00B43FD5" w:rsidRPr="00D47EB4" w:rsidRDefault="00B43FD5" w:rsidP="00B43FD5">
      <w:pPr>
        <w:autoSpaceDE w:val="0"/>
        <w:autoSpaceDN w:val="0"/>
        <w:adjustRightInd w:val="0"/>
        <w:jc w:val="both"/>
        <w:rPr>
          <w:sz w:val="22"/>
          <w:szCs w:val="22"/>
        </w:rPr>
      </w:pPr>
      <w:r w:rsidRPr="00D47EB4">
        <w:rPr>
          <w:sz w:val="22"/>
          <w:szCs w:val="22"/>
        </w:rPr>
        <w:t xml:space="preserve">Technical inputs for quarterly project management reports, twice-annual progress reports, annual budget and work plans, and mid-term review documentation. Day-to-day management of the technical aspects of the Project, and preparation of ad hoc technical reports and papers as the needs of the Project require. </w:t>
      </w:r>
    </w:p>
    <w:p w14:paraId="34E752FD" w14:textId="77777777" w:rsidR="00B43FD5" w:rsidRPr="00633450" w:rsidRDefault="00B43FD5" w:rsidP="00B43FD5">
      <w:pPr>
        <w:pStyle w:val="Heading2"/>
      </w:pPr>
      <w:r w:rsidRPr="00D47EB4">
        <w:lastRenderedPageBreak/>
        <w:t>Reporting</w:t>
      </w:r>
    </w:p>
    <w:p w14:paraId="2967952B" w14:textId="77777777" w:rsidR="00B43FD5" w:rsidRDefault="00B43FD5" w:rsidP="00B43FD5">
      <w:pPr>
        <w:autoSpaceDE w:val="0"/>
        <w:autoSpaceDN w:val="0"/>
        <w:adjustRightInd w:val="0"/>
        <w:jc w:val="both"/>
        <w:rPr>
          <w:sz w:val="22"/>
          <w:szCs w:val="22"/>
        </w:rPr>
      </w:pPr>
    </w:p>
    <w:p w14:paraId="05D2639F" w14:textId="77777777" w:rsidR="00B43FD5" w:rsidRPr="00D47EB4" w:rsidRDefault="00B43FD5" w:rsidP="00B43FD5">
      <w:pPr>
        <w:autoSpaceDE w:val="0"/>
        <w:autoSpaceDN w:val="0"/>
        <w:adjustRightInd w:val="0"/>
        <w:jc w:val="both"/>
        <w:rPr>
          <w:sz w:val="22"/>
          <w:szCs w:val="22"/>
        </w:rPr>
      </w:pPr>
      <w:r w:rsidRPr="00D47EB4">
        <w:rPr>
          <w:sz w:val="22"/>
          <w:szCs w:val="22"/>
        </w:rPr>
        <w:t xml:space="preserve">The Consultant will report to the Head of the PIU under the </w:t>
      </w:r>
      <w:proofErr w:type="spellStart"/>
      <w:r w:rsidRPr="00D47EB4">
        <w:rPr>
          <w:sz w:val="22"/>
          <w:szCs w:val="22"/>
        </w:rPr>
        <w:t>MoME</w:t>
      </w:r>
      <w:proofErr w:type="spellEnd"/>
      <w:r w:rsidRPr="00D47EB4">
        <w:rPr>
          <w:sz w:val="22"/>
          <w:szCs w:val="22"/>
        </w:rPr>
        <w:t>.</w:t>
      </w:r>
    </w:p>
    <w:p w14:paraId="73448BCC" w14:textId="77777777" w:rsidR="00B43FD5" w:rsidRPr="00B8727B" w:rsidRDefault="00B43FD5" w:rsidP="00B43FD5">
      <w:pPr>
        <w:autoSpaceDE w:val="0"/>
        <w:autoSpaceDN w:val="0"/>
        <w:adjustRightInd w:val="0"/>
        <w:spacing w:after="200" w:line="276" w:lineRule="auto"/>
        <w:contextualSpacing/>
        <w:jc w:val="both"/>
        <w:rPr>
          <w:rFonts w:eastAsia="Calibri"/>
        </w:rPr>
      </w:pPr>
    </w:p>
    <w:p w14:paraId="27B4046D" w14:textId="77777777" w:rsidR="00B43FD5" w:rsidRDefault="00B43FD5" w:rsidP="00B43FD5">
      <w:pPr>
        <w:pStyle w:val="Heading2"/>
      </w:pPr>
      <w:r w:rsidRPr="00490383">
        <w:t xml:space="preserve">Assignment duration </w:t>
      </w:r>
    </w:p>
    <w:p w14:paraId="401A920E" w14:textId="77777777" w:rsidR="00B43FD5" w:rsidRDefault="00B43FD5" w:rsidP="00B43FD5">
      <w:pPr>
        <w:autoSpaceDE w:val="0"/>
        <w:autoSpaceDN w:val="0"/>
        <w:adjustRightInd w:val="0"/>
        <w:jc w:val="both"/>
        <w:rPr>
          <w:sz w:val="22"/>
          <w:szCs w:val="22"/>
        </w:rPr>
      </w:pPr>
    </w:p>
    <w:p w14:paraId="5661EF5D" w14:textId="77777777" w:rsidR="00B43FD5" w:rsidRPr="00D47EB4" w:rsidRDefault="00B43FD5" w:rsidP="00B43FD5">
      <w:pPr>
        <w:autoSpaceDE w:val="0"/>
        <w:autoSpaceDN w:val="0"/>
        <w:adjustRightInd w:val="0"/>
        <w:jc w:val="both"/>
        <w:rPr>
          <w:sz w:val="22"/>
          <w:szCs w:val="22"/>
        </w:rPr>
      </w:pPr>
      <w:r w:rsidRPr="00490383">
        <w:rPr>
          <w:sz w:val="22"/>
          <w:szCs w:val="22"/>
        </w:rPr>
        <w:t>The Consultant shall provide full-time services for the life of the Project, i.e. until November 30, 2027, with a probationary period of six (6) months.</w:t>
      </w:r>
      <w:r w:rsidRPr="00D47EB4">
        <w:rPr>
          <w:sz w:val="22"/>
          <w:szCs w:val="22"/>
        </w:rPr>
        <w:t xml:space="preserve"> </w:t>
      </w:r>
      <w:r w:rsidRPr="00747642">
        <w:rPr>
          <w:sz w:val="22"/>
          <w:szCs w:val="22"/>
        </w:rPr>
        <w:t>The consultant hired for a full-time position under Bank project is not allowed, at the same time, to hold another full time or part time assignment.</w:t>
      </w:r>
      <w:r w:rsidRPr="00490383">
        <w:rPr>
          <w:sz w:val="22"/>
          <w:szCs w:val="22"/>
        </w:rPr>
        <w:t xml:space="preserve"> </w:t>
      </w:r>
      <w:r w:rsidRPr="00D47EB4">
        <w:rPr>
          <w:sz w:val="22"/>
          <w:szCs w:val="22"/>
        </w:rPr>
        <w:t xml:space="preserve"> </w:t>
      </w:r>
    </w:p>
    <w:p w14:paraId="0628992E" w14:textId="77777777" w:rsidR="00B43FD5" w:rsidRPr="00B8727B" w:rsidRDefault="00B43FD5" w:rsidP="00B43FD5">
      <w:pPr>
        <w:jc w:val="both"/>
      </w:pPr>
    </w:p>
    <w:p w14:paraId="5E893DBF" w14:textId="77777777" w:rsidR="00B43FD5" w:rsidRPr="00B8727B" w:rsidRDefault="00B43FD5" w:rsidP="00B43FD5">
      <w:pPr>
        <w:pStyle w:val="Heading2"/>
      </w:pPr>
      <w:r w:rsidRPr="00B8727B">
        <w:t>Qualification Requirements</w:t>
      </w:r>
    </w:p>
    <w:p w14:paraId="52129F87" w14:textId="77777777" w:rsidR="00B43FD5" w:rsidRDefault="00B43FD5" w:rsidP="00B43FD5">
      <w:pPr>
        <w:autoSpaceDE w:val="0"/>
        <w:autoSpaceDN w:val="0"/>
        <w:adjustRightInd w:val="0"/>
        <w:jc w:val="both"/>
        <w:rPr>
          <w:sz w:val="22"/>
          <w:szCs w:val="22"/>
        </w:rPr>
      </w:pPr>
    </w:p>
    <w:p w14:paraId="2F7EE166" w14:textId="77777777" w:rsidR="00B43FD5" w:rsidRDefault="00B43FD5" w:rsidP="00B43FD5">
      <w:pPr>
        <w:autoSpaceDE w:val="0"/>
        <w:autoSpaceDN w:val="0"/>
        <w:adjustRightInd w:val="0"/>
        <w:jc w:val="both"/>
        <w:rPr>
          <w:sz w:val="22"/>
          <w:szCs w:val="22"/>
        </w:rPr>
      </w:pPr>
      <w:r w:rsidRPr="00D47EB4">
        <w:rPr>
          <w:sz w:val="22"/>
          <w:szCs w:val="22"/>
        </w:rPr>
        <w:t>The Consultant should possess the following knowledge and work experience:</w:t>
      </w:r>
    </w:p>
    <w:p w14:paraId="3199DA5A" w14:textId="77777777" w:rsidR="00B43FD5" w:rsidRPr="00633450" w:rsidRDefault="00B43FD5" w:rsidP="00B43FD5">
      <w:pPr>
        <w:autoSpaceDE w:val="0"/>
        <w:autoSpaceDN w:val="0"/>
        <w:adjustRightInd w:val="0"/>
        <w:jc w:val="both"/>
        <w:rPr>
          <w:b/>
          <w:bCs/>
          <w:sz w:val="22"/>
          <w:szCs w:val="22"/>
        </w:rPr>
      </w:pPr>
    </w:p>
    <w:p w14:paraId="765A6F6E" w14:textId="77777777" w:rsidR="00B43FD5" w:rsidRPr="00633450" w:rsidRDefault="00B43FD5" w:rsidP="00B43FD5">
      <w:pPr>
        <w:autoSpaceDE w:val="0"/>
        <w:autoSpaceDN w:val="0"/>
        <w:adjustRightInd w:val="0"/>
        <w:jc w:val="both"/>
        <w:rPr>
          <w:b/>
          <w:bCs/>
          <w:sz w:val="22"/>
          <w:szCs w:val="22"/>
        </w:rPr>
      </w:pPr>
      <w:r w:rsidRPr="00633450">
        <w:rPr>
          <w:b/>
          <w:bCs/>
          <w:sz w:val="22"/>
          <w:szCs w:val="22"/>
        </w:rPr>
        <w:t>Education:</w:t>
      </w:r>
    </w:p>
    <w:p w14:paraId="0671CCC5" w14:textId="77777777" w:rsidR="00B43FD5" w:rsidRPr="0036719E" w:rsidRDefault="00B43FD5" w:rsidP="00B43FD5">
      <w:pPr>
        <w:autoSpaceDE w:val="0"/>
        <w:autoSpaceDN w:val="0"/>
        <w:adjustRightInd w:val="0"/>
        <w:jc w:val="both"/>
        <w:rPr>
          <w:sz w:val="22"/>
          <w:szCs w:val="22"/>
        </w:rPr>
      </w:pPr>
    </w:p>
    <w:p w14:paraId="56C95424" w14:textId="5987E695" w:rsidR="00B43FD5" w:rsidRDefault="00B43FD5" w:rsidP="00B43FD5">
      <w:pPr>
        <w:pStyle w:val="ListParagraph"/>
        <w:numPr>
          <w:ilvl w:val="0"/>
          <w:numId w:val="2"/>
        </w:numPr>
        <w:jc w:val="both"/>
        <w:rPr>
          <w:sz w:val="22"/>
          <w:szCs w:val="22"/>
        </w:rPr>
      </w:pPr>
      <w:r w:rsidRPr="00E87868">
        <w:rPr>
          <w:sz w:val="22"/>
          <w:szCs w:val="22"/>
        </w:rPr>
        <w:t xml:space="preserve">University degree in </w:t>
      </w:r>
      <w:bookmarkStart w:id="2" w:name="_GoBack"/>
      <w:r w:rsidR="00686F18" w:rsidRPr="00776BD1">
        <w:rPr>
          <w:sz w:val="22"/>
          <w:szCs w:val="22"/>
        </w:rPr>
        <w:t>Mechanical</w:t>
      </w:r>
      <w:r w:rsidR="00790DCF" w:rsidRPr="00776BD1">
        <w:rPr>
          <w:sz w:val="22"/>
          <w:szCs w:val="22"/>
        </w:rPr>
        <w:t>/Architectural</w:t>
      </w:r>
      <w:bookmarkEnd w:id="2"/>
      <w:r w:rsidR="00790DCF">
        <w:rPr>
          <w:color w:val="000000" w:themeColor="text1"/>
          <w:sz w:val="22"/>
          <w:szCs w:val="22"/>
        </w:rPr>
        <w:t>/Civil</w:t>
      </w:r>
      <w:r w:rsidR="00686F18" w:rsidRPr="00E87868">
        <w:rPr>
          <w:sz w:val="22"/>
          <w:szCs w:val="22"/>
        </w:rPr>
        <w:t xml:space="preserve"> </w:t>
      </w:r>
      <w:r w:rsidRPr="00E87868">
        <w:rPr>
          <w:sz w:val="22"/>
          <w:szCs w:val="22"/>
        </w:rPr>
        <w:t>Engineering</w:t>
      </w:r>
      <w:r>
        <w:rPr>
          <w:sz w:val="22"/>
          <w:szCs w:val="22"/>
        </w:rPr>
        <w:t xml:space="preserve"> or relevant technical studies</w:t>
      </w:r>
      <w:r w:rsidRPr="00E87868">
        <w:rPr>
          <w:sz w:val="22"/>
          <w:szCs w:val="22"/>
        </w:rPr>
        <w:t xml:space="preserve"> with at least 240 ECTS points or equivalent (Bachelor Academic Studies, in the scope of at least 240 ECTS points, Master Academic Studies, Specialist Academic Studies, Specialist Vocational Studies, i.e. at Bachelor studies lasting at least four years or Specialist Academic Studies at the University)</w:t>
      </w:r>
      <w:r>
        <w:rPr>
          <w:sz w:val="22"/>
          <w:szCs w:val="22"/>
        </w:rPr>
        <w:t>.</w:t>
      </w:r>
    </w:p>
    <w:p w14:paraId="04ADDA39" w14:textId="77777777" w:rsidR="00B43FD5" w:rsidRDefault="00B43FD5" w:rsidP="00B43FD5">
      <w:pPr>
        <w:pStyle w:val="ListParagraph"/>
        <w:ind w:left="360"/>
        <w:jc w:val="both"/>
        <w:rPr>
          <w:sz w:val="22"/>
          <w:szCs w:val="22"/>
        </w:rPr>
      </w:pPr>
    </w:p>
    <w:p w14:paraId="1C997AD3" w14:textId="64E0B9E4" w:rsidR="00B43FD5" w:rsidRDefault="00AC5A07" w:rsidP="00B43FD5">
      <w:pPr>
        <w:autoSpaceDE w:val="0"/>
        <w:autoSpaceDN w:val="0"/>
        <w:adjustRightInd w:val="0"/>
        <w:jc w:val="both"/>
        <w:rPr>
          <w:b/>
          <w:bCs/>
          <w:sz w:val="22"/>
          <w:szCs w:val="22"/>
        </w:rPr>
      </w:pPr>
      <w:r>
        <w:rPr>
          <w:b/>
          <w:bCs/>
          <w:sz w:val="22"/>
          <w:szCs w:val="22"/>
        </w:rPr>
        <w:t>General e</w:t>
      </w:r>
      <w:r w:rsidR="00B43FD5" w:rsidRPr="00633450">
        <w:rPr>
          <w:b/>
          <w:bCs/>
          <w:sz w:val="22"/>
          <w:szCs w:val="22"/>
        </w:rPr>
        <w:t>xperience:</w:t>
      </w:r>
    </w:p>
    <w:p w14:paraId="4709BA62" w14:textId="77777777" w:rsidR="00B43FD5" w:rsidRPr="00633450" w:rsidRDefault="00B43FD5" w:rsidP="00B43FD5">
      <w:pPr>
        <w:autoSpaceDE w:val="0"/>
        <w:autoSpaceDN w:val="0"/>
        <w:adjustRightInd w:val="0"/>
        <w:jc w:val="both"/>
        <w:rPr>
          <w:b/>
          <w:bCs/>
          <w:sz w:val="22"/>
          <w:szCs w:val="22"/>
        </w:rPr>
      </w:pPr>
    </w:p>
    <w:p w14:paraId="5B401140" w14:textId="77777777" w:rsidR="00B43FD5" w:rsidRDefault="00B43FD5" w:rsidP="00B43FD5">
      <w:pPr>
        <w:pStyle w:val="ListParagraph"/>
        <w:numPr>
          <w:ilvl w:val="0"/>
          <w:numId w:val="2"/>
        </w:numPr>
        <w:jc w:val="both"/>
        <w:rPr>
          <w:sz w:val="22"/>
          <w:szCs w:val="22"/>
        </w:rPr>
      </w:pPr>
      <w:r w:rsidRPr="00E87868">
        <w:rPr>
          <w:sz w:val="22"/>
          <w:szCs w:val="22"/>
        </w:rPr>
        <w:t>At leas</w:t>
      </w:r>
      <w:r>
        <w:rPr>
          <w:sz w:val="22"/>
          <w:szCs w:val="22"/>
        </w:rPr>
        <w:t>t</w:t>
      </w:r>
      <w:r w:rsidRPr="00E87868">
        <w:rPr>
          <w:sz w:val="22"/>
          <w:szCs w:val="22"/>
        </w:rPr>
        <w:t xml:space="preserve"> 5 years of working experience in the field of the construction</w:t>
      </w:r>
      <w:r>
        <w:rPr>
          <w:sz w:val="22"/>
          <w:szCs w:val="22"/>
        </w:rPr>
        <w:t>.</w:t>
      </w:r>
    </w:p>
    <w:p w14:paraId="4D53B103" w14:textId="77777777" w:rsidR="00E2314F" w:rsidRPr="00B8727B" w:rsidRDefault="00E2314F" w:rsidP="00E2314F">
      <w:pPr>
        <w:pStyle w:val="ListParagraph"/>
        <w:numPr>
          <w:ilvl w:val="0"/>
          <w:numId w:val="2"/>
        </w:numPr>
        <w:autoSpaceDE w:val="0"/>
        <w:autoSpaceDN w:val="0"/>
        <w:adjustRightInd w:val="0"/>
        <w:spacing w:before="240"/>
        <w:jc w:val="both"/>
      </w:pPr>
      <w:r w:rsidRPr="00B8727B">
        <w:rPr>
          <w:sz w:val="22"/>
          <w:szCs w:val="22"/>
        </w:rPr>
        <w:t xml:space="preserve">At least </w:t>
      </w:r>
      <w:r>
        <w:rPr>
          <w:sz w:val="22"/>
          <w:szCs w:val="22"/>
        </w:rPr>
        <w:t>2</w:t>
      </w:r>
      <w:r w:rsidRPr="00B8727B">
        <w:rPr>
          <w:sz w:val="22"/>
          <w:szCs w:val="22"/>
        </w:rPr>
        <w:t xml:space="preserve"> years of work experience in buildings energy efficiency </w:t>
      </w:r>
      <w:r w:rsidRPr="00F3441D">
        <w:rPr>
          <w:sz w:val="22"/>
          <w:szCs w:val="22"/>
        </w:rPr>
        <w:t>retrofitting</w:t>
      </w:r>
      <w:r w:rsidRPr="00B8727B">
        <w:rPr>
          <w:sz w:val="22"/>
          <w:szCs w:val="22"/>
        </w:rPr>
        <w:t>;</w:t>
      </w:r>
    </w:p>
    <w:p w14:paraId="4D2F59FD" w14:textId="1C483DCA" w:rsidR="006A4B03" w:rsidRPr="00776BD1" w:rsidRDefault="00943E3E" w:rsidP="00776BD1">
      <w:pPr>
        <w:pStyle w:val="ListParagraph"/>
        <w:numPr>
          <w:ilvl w:val="0"/>
          <w:numId w:val="2"/>
        </w:numPr>
        <w:autoSpaceDE w:val="0"/>
        <w:autoSpaceDN w:val="0"/>
        <w:adjustRightInd w:val="0"/>
        <w:spacing w:before="240"/>
        <w:jc w:val="both"/>
        <w:rPr>
          <w:sz w:val="22"/>
          <w:szCs w:val="22"/>
        </w:rPr>
      </w:pPr>
      <w:r w:rsidRPr="00776BD1">
        <w:rPr>
          <w:sz w:val="22"/>
          <w:szCs w:val="22"/>
        </w:rPr>
        <w:t>P</w:t>
      </w:r>
      <w:r w:rsidR="006A4B03" w:rsidRPr="00776BD1">
        <w:rPr>
          <w:sz w:val="22"/>
          <w:szCs w:val="22"/>
        </w:rPr>
        <w:t>ossession of a license that covers the areas of energy efficiency in buildings (label 381 - issued by engineer’s chamber of Serbia)</w:t>
      </w:r>
    </w:p>
    <w:p w14:paraId="68534477" w14:textId="77777777" w:rsidR="00B43FD5" w:rsidRDefault="00B43FD5" w:rsidP="00B43FD5">
      <w:pPr>
        <w:autoSpaceDE w:val="0"/>
        <w:autoSpaceDN w:val="0"/>
        <w:adjustRightInd w:val="0"/>
        <w:jc w:val="both"/>
        <w:rPr>
          <w:b/>
          <w:bCs/>
          <w:sz w:val="22"/>
          <w:szCs w:val="22"/>
        </w:rPr>
      </w:pPr>
    </w:p>
    <w:p w14:paraId="5D76713B" w14:textId="77777777" w:rsidR="00B43FD5" w:rsidRPr="00633450" w:rsidRDefault="00B43FD5" w:rsidP="00B43FD5">
      <w:pPr>
        <w:autoSpaceDE w:val="0"/>
        <w:autoSpaceDN w:val="0"/>
        <w:adjustRightInd w:val="0"/>
        <w:jc w:val="both"/>
        <w:rPr>
          <w:b/>
          <w:bCs/>
          <w:sz w:val="22"/>
          <w:szCs w:val="22"/>
        </w:rPr>
      </w:pPr>
      <w:r w:rsidRPr="00C80DED">
        <w:rPr>
          <w:b/>
          <w:bCs/>
          <w:sz w:val="22"/>
          <w:szCs w:val="22"/>
        </w:rPr>
        <w:t>Language</w:t>
      </w:r>
      <w:r>
        <w:rPr>
          <w:b/>
          <w:bCs/>
          <w:sz w:val="22"/>
          <w:szCs w:val="22"/>
        </w:rPr>
        <w:t>:</w:t>
      </w:r>
      <w:r w:rsidRPr="00633450">
        <w:rPr>
          <w:b/>
          <w:bCs/>
          <w:sz w:val="22"/>
          <w:szCs w:val="22"/>
        </w:rPr>
        <w:t xml:space="preserve"> </w:t>
      </w:r>
    </w:p>
    <w:p w14:paraId="23E2C2C5" w14:textId="77777777" w:rsidR="00B43FD5" w:rsidRPr="00633450" w:rsidRDefault="00B43FD5" w:rsidP="00B43FD5">
      <w:pPr>
        <w:pStyle w:val="ListParagraph"/>
        <w:numPr>
          <w:ilvl w:val="0"/>
          <w:numId w:val="5"/>
        </w:numPr>
        <w:autoSpaceDE w:val="0"/>
        <w:autoSpaceDN w:val="0"/>
        <w:adjustRightInd w:val="0"/>
        <w:spacing w:before="120"/>
        <w:jc w:val="both"/>
        <w:rPr>
          <w:b/>
          <w:bCs/>
          <w:sz w:val="22"/>
          <w:szCs w:val="22"/>
        </w:rPr>
      </w:pPr>
      <w:r w:rsidRPr="00633450">
        <w:rPr>
          <w:sz w:val="22"/>
          <w:szCs w:val="22"/>
        </w:rPr>
        <w:t>Fluency in Serbian and working knowledge of both spoken and written English language.</w:t>
      </w:r>
    </w:p>
    <w:p w14:paraId="4D56CD57" w14:textId="11FA2F18" w:rsidR="00B43FD5" w:rsidRPr="00633450" w:rsidRDefault="00F901EB" w:rsidP="00B43FD5">
      <w:pPr>
        <w:autoSpaceDE w:val="0"/>
        <w:autoSpaceDN w:val="0"/>
        <w:adjustRightInd w:val="0"/>
        <w:spacing w:before="120"/>
        <w:jc w:val="both"/>
      </w:pPr>
      <w:r>
        <w:rPr>
          <w:b/>
          <w:sz w:val="22"/>
        </w:rPr>
        <w:t>Specific</w:t>
      </w:r>
      <w:r w:rsidR="00B43FD5" w:rsidRPr="0067489C">
        <w:rPr>
          <w:b/>
          <w:sz w:val="22"/>
        </w:rPr>
        <w:t xml:space="preserve"> experience</w:t>
      </w:r>
      <w:r w:rsidR="005434E8">
        <w:rPr>
          <w:b/>
          <w:sz w:val="22"/>
        </w:rPr>
        <w:t xml:space="preserve"> and skills</w:t>
      </w:r>
      <w:r w:rsidR="00B43FD5" w:rsidRPr="0067489C">
        <w:rPr>
          <w:b/>
          <w:sz w:val="22"/>
        </w:rPr>
        <w:t xml:space="preserve"> in the following fields is considered as an asset:</w:t>
      </w:r>
    </w:p>
    <w:p w14:paraId="790E5E0D" w14:textId="2C288738" w:rsidR="00CD72CC" w:rsidRPr="00CD72CC" w:rsidRDefault="00F37C72" w:rsidP="00B43FD5">
      <w:pPr>
        <w:pStyle w:val="ListParagraph"/>
        <w:numPr>
          <w:ilvl w:val="0"/>
          <w:numId w:val="2"/>
        </w:numPr>
        <w:autoSpaceDE w:val="0"/>
        <w:autoSpaceDN w:val="0"/>
        <w:adjustRightInd w:val="0"/>
        <w:spacing w:before="240"/>
        <w:jc w:val="both"/>
      </w:pPr>
      <w:r>
        <w:rPr>
          <w:sz w:val="22"/>
          <w:szCs w:val="22"/>
        </w:rPr>
        <w:t>P</w:t>
      </w:r>
      <w:r w:rsidRPr="00573A6F">
        <w:rPr>
          <w:sz w:val="22"/>
          <w:szCs w:val="22"/>
        </w:rPr>
        <w:t xml:space="preserve">ossession of a license that covers the areas </w:t>
      </w:r>
      <w:r w:rsidR="00CD72CC" w:rsidRPr="00CD72CC">
        <w:rPr>
          <w:sz w:val="22"/>
          <w:szCs w:val="22"/>
        </w:rPr>
        <w:t xml:space="preserve">of </w:t>
      </w:r>
      <w:r w:rsidR="00637189">
        <w:rPr>
          <w:sz w:val="22"/>
          <w:szCs w:val="22"/>
        </w:rPr>
        <w:t>mechanical</w:t>
      </w:r>
      <w:r w:rsidR="00AE6E6E">
        <w:rPr>
          <w:color w:val="000000" w:themeColor="text1"/>
          <w:sz w:val="22"/>
          <w:szCs w:val="22"/>
        </w:rPr>
        <w:t>/architectural/</w:t>
      </w:r>
      <w:proofErr w:type="gramStart"/>
      <w:r w:rsidR="00AE6E6E">
        <w:rPr>
          <w:color w:val="000000" w:themeColor="text1"/>
          <w:sz w:val="22"/>
          <w:szCs w:val="22"/>
        </w:rPr>
        <w:t>civil</w:t>
      </w:r>
      <w:r w:rsidR="00AE6E6E" w:rsidRPr="00CD72CC" w:rsidDel="00637189">
        <w:rPr>
          <w:sz w:val="22"/>
          <w:szCs w:val="22"/>
        </w:rPr>
        <w:t xml:space="preserve"> </w:t>
      </w:r>
      <w:r w:rsidR="00CD72CC" w:rsidRPr="00CD72CC">
        <w:rPr>
          <w:sz w:val="22"/>
          <w:szCs w:val="22"/>
        </w:rPr>
        <w:t xml:space="preserve"> expertise</w:t>
      </w:r>
      <w:proofErr w:type="gramEnd"/>
      <w:r w:rsidRPr="00573A6F">
        <w:rPr>
          <w:sz w:val="22"/>
          <w:szCs w:val="22"/>
        </w:rPr>
        <w:t xml:space="preserve"> (</w:t>
      </w:r>
      <w:r w:rsidR="00CD72CC">
        <w:rPr>
          <w:sz w:val="22"/>
          <w:szCs w:val="22"/>
        </w:rPr>
        <w:t>L</w:t>
      </w:r>
      <w:r w:rsidRPr="00573A6F">
        <w:rPr>
          <w:sz w:val="22"/>
          <w:szCs w:val="22"/>
        </w:rPr>
        <w:t xml:space="preserve">abel </w:t>
      </w:r>
      <w:r w:rsidR="006627BB">
        <w:rPr>
          <w:sz w:val="22"/>
          <w:szCs w:val="22"/>
        </w:rPr>
        <w:t>300,310,</w:t>
      </w:r>
      <w:r w:rsidRPr="00573A6F">
        <w:rPr>
          <w:sz w:val="22"/>
          <w:szCs w:val="22"/>
        </w:rPr>
        <w:t>3</w:t>
      </w:r>
      <w:r w:rsidR="00CA2367">
        <w:rPr>
          <w:sz w:val="22"/>
          <w:szCs w:val="22"/>
        </w:rPr>
        <w:t>3</w:t>
      </w:r>
      <w:r>
        <w:rPr>
          <w:sz w:val="22"/>
          <w:szCs w:val="22"/>
        </w:rPr>
        <w:t xml:space="preserve">0 and/or </w:t>
      </w:r>
      <w:r w:rsidR="006627BB">
        <w:rPr>
          <w:sz w:val="22"/>
          <w:szCs w:val="22"/>
        </w:rPr>
        <w:t>400,410,</w:t>
      </w:r>
      <w:r w:rsidR="00CA2367">
        <w:rPr>
          <w:sz w:val="22"/>
          <w:szCs w:val="22"/>
        </w:rPr>
        <w:t>430</w:t>
      </w:r>
      <w:r>
        <w:rPr>
          <w:sz w:val="22"/>
          <w:szCs w:val="22"/>
        </w:rPr>
        <w:t xml:space="preserve"> or similar</w:t>
      </w:r>
      <w:r w:rsidRPr="00573A6F">
        <w:rPr>
          <w:sz w:val="22"/>
          <w:szCs w:val="22"/>
        </w:rPr>
        <w:t xml:space="preserve"> </w:t>
      </w:r>
      <w:r>
        <w:rPr>
          <w:sz w:val="22"/>
          <w:szCs w:val="22"/>
        </w:rPr>
        <w:t>–</w:t>
      </w:r>
      <w:r w:rsidRPr="00573A6F">
        <w:rPr>
          <w:sz w:val="22"/>
          <w:szCs w:val="22"/>
        </w:rPr>
        <w:t xml:space="preserve"> issued by engineer’s chamber of Serbia)</w:t>
      </w:r>
      <w:r>
        <w:rPr>
          <w:sz w:val="22"/>
          <w:szCs w:val="22"/>
        </w:rPr>
        <w:t>;</w:t>
      </w:r>
    </w:p>
    <w:p w14:paraId="2B8D3233" w14:textId="67F9E68B" w:rsidR="00B43FD5" w:rsidRPr="00B8727B" w:rsidRDefault="00B43FD5" w:rsidP="00B43FD5">
      <w:pPr>
        <w:pStyle w:val="ListParagraph"/>
        <w:numPr>
          <w:ilvl w:val="0"/>
          <w:numId w:val="2"/>
        </w:numPr>
        <w:autoSpaceDE w:val="0"/>
        <w:autoSpaceDN w:val="0"/>
        <w:adjustRightInd w:val="0"/>
        <w:spacing w:before="240"/>
        <w:jc w:val="both"/>
      </w:pPr>
      <w:r w:rsidRPr="00B8727B">
        <w:rPr>
          <w:sz w:val="22"/>
          <w:szCs w:val="22"/>
        </w:rPr>
        <w:t>Proven working experiences on calculation of buildings energy efficiency; methodology of EPBD and/or Serbian rulebooks regulating energy efficiency of buildings</w:t>
      </w:r>
      <w:r w:rsidR="009627DE">
        <w:rPr>
          <w:sz w:val="22"/>
          <w:szCs w:val="22"/>
        </w:rPr>
        <w:t>;</w:t>
      </w:r>
    </w:p>
    <w:p w14:paraId="62CB8659" w14:textId="77777777" w:rsidR="00B43FD5" w:rsidRPr="00B8727B" w:rsidRDefault="00B43FD5" w:rsidP="00B43FD5">
      <w:pPr>
        <w:pStyle w:val="ListParagraph"/>
        <w:numPr>
          <w:ilvl w:val="0"/>
          <w:numId w:val="3"/>
        </w:numPr>
        <w:autoSpaceDE w:val="0"/>
        <w:autoSpaceDN w:val="0"/>
        <w:adjustRightInd w:val="0"/>
        <w:spacing w:before="240"/>
        <w:jc w:val="both"/>
      </w:pPr>
      <w:r w:rsidRPr="00B8727B">
        <w:rPr>
          <w:sz w:val="22"/>
          <w:szCs w:val="22"/>
        </w:rPr>
        <w:t>Experience with contractors, either in design, works, writing of specifications, bills of quantities, tender procedures or site works supervision;</w:t>
      </w:r>
    </w:p>
    <w:p w14:paraId="34EDEA89" w14:textId="453396C3" w:rsidR="00B43FD5" w:rsidRPr="00633450" w:rsidRDefault="00B43FD5" w:rsidP="00B43FD5">
      <w:pPr>
        <w:pStyle w:val="ListParagraph"/>
        <w:numPr>
          <w:ilvl w:val="0"/>
          <w:numId w:val="3"/>
        </w:numPr>
        <w:autoSpaceDE w:val="0"/>
        <w:autoSpaceDN w:val="0"/>
        <w:adjustRightInd w:val="0"/>
        <w:spacing w:before="240"/>
        <w:jc w:val="both"/>
      </w:pPr>
      <w:r w:rsidRPr="00B8727B">
        <w:rPr>
          <w:sz w:val="22"/>
          <w:szCs w:val="22"/>
        </w:rPr>
        <w:t>Computer skills (Microsoft Office)</w:t>
      </w:r>
      <w:r w:rsidR="009627DE">
        <w:rPr>
          <w:sz w:val="22"/>
          <w:szCs w:val="22"/>
        </w:rPr>
        <w:t>;</w:t>
      </w:r>
    </w:p>
    <w:p w14:paraId="264B5A52" w14:textId="29D8363A" w:rsidR="00B43FD5" w:rsidRPr="00F37C72" w:rsidRDefault="005801E6" w:rsidP="00B43FD5">
      <w:pPr>
        <w:pStyle w:val="ListParagraph"/>
        <w:numPr>
          <w:ilvl w:val="0"/>
          <w:numId w:val="3"/>
        </w:numPr>
        <w:autoSpaceDE w:val="0"/>
        <w:autoSpaceDN w:val="0"/>
        <w:adjustRightInd w:val="0"/>
        <w:spacing w:before="240"/>
        <w:jc w:val="both"/>
      </w:pPr>
      <w:r>
        <w:rPr>
          <w:sz w:val="22"/>
          <w:szCs w:val="22"/>
        </w:rPr>
        <w:t xml:space="preserve">Experience </w:t>
      </w:r>
      <w:r w:rsidR="00B43FD5" w:rsidRPr="00B8727B">
        <w:rPr>
          <w:sz w:val="22"/>
          <w:szCs w:val="22"/>
        </w:rPr>
        <w:t xml:space="preserve">in </w:t>
      </w:r>
      <w:r w:rsidR="00BE7985">
        <w:rPr>
          <w:sz w:val="22"/>
          <w:szCs w:val="22"/>
        </w:rPr>
        <w:t xml:space="preserve">design and/or </w:t>
      </w:r>
      <w:r w:rsidR="00837533" w:rsidRPr="00F37C72">
        <w:rPr>
          <w:sz w:val="22"/>
          <w:szCs w:val="22"/>
        </w:rPr>
        <w:t xml:space="preserve">installation </w:t>
      </w:r>
      <w:r w:rsidR="00B43FD5" w:rsidRPr="00B8727B">
        <w:rPr>
          <w:sz w:val="22"/>
          <w:szCs w:val="22"/>
        </w:rPr>
        <w:t xml:space="preserve">of </w:t>
      </w:r>
      <w:r w:rsidR="00AC5A07">
        <w:rPr>
          <w:sz w:val="22"/>
          <w:szCs w:val="22"/>
        </w:rPr>
        <w:t>HVAC systems,</w:t>
      </w:r>
      <w:r w:rsidR="00AC5A07" w:rsidRPr="00B8727B">
        <w:rPr>
          <w:sz w:val="22"/>
          <w:szCs w:val="22"/>
        </w:rPr>
        <w:t xml:space="preserve"> </w:t>
      </w:r>
      <w:r w:rsidR="00B43FD5" w:rsidRPr="00B8727B">
        <w:rPr>
          <w:sz w:val="22"/>
          <w:szCs w:val="22"/>
        </w:rPr>
        <w:t>heat insulation materials</w:t>
      </w:r>
      <w:r w:rsidR="00F21CE0">
        <w:rPr>
          <w:sz w:val="22"/>
          <w:szCs w:val="22"/>
        </w:rPr>
        <w:t xml:space="preserve">, </w:t>
      </w:r>
      <w:proofErr w:type="gramStart"/>
      <w:r w:rsidR="00F21CE0" w:rsidRPr="00F37C72">
        <w:rPr>
          <w:sz w:val="22"/>
          <w:szCs w:val="22"/>
        </w:rPr>
        <w:t>waterproofing</w:t>
      </w:r>
      <w:r w:rsidR="00793BB1">
        <w:rPr>
          <w:sz w:val="22"/>
          <w:szCs w:val="22"/>
        </w:rPr>
        <w:t>,</w:t>
      </w:r>
      <w:r w:rsidR="00F21CE0" w:rsidRPr="00F37C72">
        <w:rPr>
          <w:sz w:val="22"/>
          <w:szCs w:val="22"/>
        </w:rPr>
        <w:t xml:space="preserve">  vapor</w:t>
      </w:r>
      <w:proofErr w:type="gramEnd"/>
      <w:r w:rsidR="00F21CE0" w:rsidRPr="00F37C72">
        <w:rPr>
          <w:sz w:val="22"/>
          <w:szCs w:val="22"/>
        </w:rPr>
        <w:t xml:space="preserve"> barrier</w:t>
      </w:r>
      <w:r w:rsidR="00941BA6">
        <w:rPr>
          <w:sz w:val="22"/>
          <w:szCs w:val="22"/>
        </w:rPr>
        <w:t xml:space="preserve"> and</w:t>
      </w:r>
      <w:r w:rsidR="00B43FD5" w:rsidRPr="00B8727B">
        <w:rPr>
          <w:sz w:val="22"/>
          <w:szCs w:val="22"/>
        </w:rPr>
        <w:t xml:space="preserve"> window</w:t>
      </w:r>
      <w:r w:rsidR="00464EDC">
        <w:rPr>
          <w:sz w:val="22"/>
          <w:szCs w:val="22"/>
        </w:rPr>
        <w:t>s</w:t>
      </w:r>
      <w:r w:rsidR="00B43FD5" w:rsidRPr="00B8727B">
        <w:rPr>
          <w:sz w:val="22"/>
          <w:szCs w:val="22"/>
        </w:rPr>
        <w:t xml:space="preserve"> for building energy efficiency retrofitting;</w:t>
      </w:r>
    </w:p>
    <w:p w14:paraId="33D4B962" w14:textId="68280F70" w:rsidR="00B43FD5" w:rsidRPr="00776BD1" w:rsidRDefault="00457735" w:rsidP="00B43FD5">
      <w:pPr>
        <w:pStyle w:val="ListParagraph"/>
        <w:numPr>
          <w:ilvl w:val="0"/>
          <w:numId w:val="3"/>
        </w:numPr>
        <w:autoSpaceDE w:val="0"/>
        <w:autoSpaceDN w:val="0"/>
        <w:adjustRightInd w:val="0"/>
        <w:spacing w:before="240"/>
        <w:jc w:val="both"/>
      </w:pPr>
      <w:r>
        <w:rPr>
          <w:sz w:val="22"/>
          <w:szCs w:val="22"/>
        </w:rPr>
        <w:t>K</w:t>
      </w:r>
      <w:r w:rsidRPr="00F37C72">
        <w:rPr>
          <w:sz w:val="22"/>
          <w:szCs w:val="22"/>
        </w:rPr>
        <w:t xml:space="preserve">nowledge of standards related to </w:t>
      </w:r>
      <w:r w:rsidR="00A21F58">
        <w:rPr>
          <w:sz w:val="22"/>
          <w:szCs w:val="22"/>
        </w:rPr>
        <w:t>design/installation/commi</w:t>
      </w:r>
      <w:r w:rsidR="00DD1B46">
        <w:rPr>
          <w:sz w:val="22"/>
          <w:szCs w:val="22"/>
        </w:rPr>
        <w:t xml:space="preserve">ssioning of </w:t>
      </w:r>
      <w:r w:rsidR="00DD17CA">
        <w:rPr>
          <w:sz w:val="22"/>
          <w:szCs w:val="22"/>
        </w:rPr>
        <w:t>HVAC systems</w:t>
      </w:r>
      <w:r w:rsidR="00161087">
        <w:rPr>
          <w:sz w:val="22"/>
          <w:szCs w:val="22"/>
        </w:rPr>
        <w:t xml:space="preserve"> and </w:t>
      </w:r>
      <w:r w:rsidR="007962F8" w:rsidRPr="00573A6F">
        <w:rPr>
          <w:sz w:val="22"/>
          <w:szCs w:val="22"/>
        </w:rPr>
        <w:t>building envelope</w:t>
      </w:r>
      <w:r w:rsidR="007962F8">
        <w:rPr>
          <w:sz w:val="22"/>
          <w:szCs w:val="22"/>
        </w:rPr>
        <w:t xml:space="preserve"> and</w:t>
      </w:r>
      <w:r w:rsidR="007962F8" w:rsidRPr="007962F8">
        <w:rPr>
          <w:sz w:val="22"/>
          <w:szCs w:val="22"/>
        </w:rPr>
        <w:t xml:space="preserve"> </w:t>
      </w:r>
      <w:r w:rsidR="006623C2" w:rsidRPr="00573A6F">
        <w:rPr>
          <w:sz w:val="22"/>
          <w:szCs w:val="22"/>
        </w:rPr>
        <w:t xml:space="preserve">standards related to </w:t>
      </w:r>
      <w:r w:rsidR="00123B6A">
        <w:rPr>
          <w:sz w:val="22"/>
          <w:szCs w:val="22"/>
        </w:rPr>
        <w:t xml:space="preserve">building </w:t>
      </w:r>
      <w:r w:rsidR="007962F8">
        <w:rPr>
          <w:sz w:val="22"/>
          <w:szCs w:val="22"/>
        </w:rPr>
        <w:t>energy</w:t>
      </w:r>
      <w:r w:rsidR="00123B6A">
        <w:rPr>
          <w:sz w:val="22"/>
          <w:szCs w:val="22"/>
        </w:rPr>
        <w:t xml:space="preserve"> performance and</w:t>
      </w:r>
      <w:r w:rsidR="007962F8">
        <w:rPr>
          <w:sz w:val="22"/>
          <w:szCs w:val="22"/>
        </w:rPr>
        <w:t xml:space="preserve"> efficiency</w:t>
      </w:r>
      <w:r>
        <w:rPr>
          <w:sz w:val="22"/>
          <w:szCs w:val="22"/>
        </w:rPr>
        <w:t>;</w:t>
      </w:r>
    </w:p>
    <w:p w14:paraId="58879CA4" w14:textId="2AE14506" w:rsidR="00CC2659" w:rsidRPr="00AF0BAC" w:rsidRDefault="00CC2659" w:rsidP="00B43FD5">
      <w:pPr>
        <w:pStyle w:val="ListParagraph"/>
        <w:numPr>
          <w:ilvl w:val="0"/>
          <w:numId w:val="3"/>
        </w:numPr>
        <w:autoSpaceDE w:val="0"/>
        <w:autoSpaceDN w:val="0"/>
        <w:adjustRightInd w:val="0"/>
        <w:spacing w:before="240"/>
        <w:jc w:val="both"/>
      </w:pPr>
      <w:r w:rsidRPr="00B8727B">
        <w:rPr>
          <w:sz w:val="22"/>
          <w:szCs w:val="22"/>
        </w:rPr>
        <w:t>Performing building’s energy audits</w:t>
      </w:r>
    </w:p>
    <w:p w14:paraId="4C153481" w14:textId="77777777" w:rsidR="00B43FD5" w:rsidRPr="004D00E1" w:rsidRDefault="00B43FD5" w:rsidP="00B43FD5">
      <w:pPr>
        <w:pStyle w:val="ListParagraph"/>
        <w:numPr>
          <w:ilvl w:val="0"/>
          <w:numId w:val="3"/>
        </w:numPr>
        <w:autoSpaceDE w:val="0"/>
        <w:autoSpaceDN w:val="0"/>
        <w:adjustRightInd w:val="0"/>
        <w:spacing w:before="240"/>
        <w:jc w:val="both"/>
      </w:pPr>
      <w:r w:rsidRPr="00B8727B">
        <w:rPr>
          <w:sz w:val="22"/>
          <w:szCs w:val="22"/>
        </w:rPr>
        <w:t xml:space="preserve">Experience in preparation of analytical materials and </w:t>
      </w:r>
      <w:r>
        <w:rPr>
          <w:sz w:val="22"/>
          <w:szCs w:val="22"/>
        </w:rPr>
        <w:t>reports</w:t>
      </w:r>
      <w:r w:rsidRPr="00B8727B">
        <w:rPr>
          <w:sz w:val="22"/>
          <w:szCs w:val="22"/>
        </w:rPr>
        <w:t>;</w:t>
      </w:r>
    </w:p>
    <w:p w14:paraId="648C134D" w14:textId="77777777" w:rsidR="00B43FD5" w:rsidRPr="00633450" w:rsidRDefault="00B43FD5" w:rsidP="00B43FD5">
      <w:pPr>
        <w:pStyle w:val="ListParagraph"/>
        <w:numPr>
          <w:ilvl w:val="0"/>
          <w:numId w:val="3"/>
        </w:numPr>
        <w:autoSpaceDE w:val="0"/>
        <w:autoSpaceDN w:val="0"/>
        <w:adjustRightInd w:val="0"/>
        <w:spacing w:before="240"/>
        <w:jc w:val="both"/>
      </w:pPr>
      <w:r w:rsidRPr="00B8727B">
        <w:rPr>
          <w:sz w:val="22"/>
          <w:szCs w:val="22"/>
        </w:rPr>
        <w:t>Capacity building and training to stakeholders.</w:t>
      </w:r>
    </w:p>
    <w:p w14:paraId="6CCD6B07" w14:textId="77777777" w:rsidR="00B43FD5" w:rsidRPr="0067489C" w:rsidRDefault="00B43FD5" w:rsidP="00B43FD5">
      <w:pPr>
        <w:pStyle w:val="ListParagraph"/>
        <w:autoSpaceDE w:val="0"/>
        <w:autoSpaceDN w:val="0"/>
        <w:adjustRightInd w:val="0"/>
        <w:spacing w:before="240"/>
        <w:ind w:left="360"/>
        <w:jc w:val="both"/>
      </w:pPr>
    </w:p>
    <w:p w14:paraId="4C40E8DA" w14:textId="77777777" w:rsidR="00B43FD5" w:rsidRPr="00B8727B" w:rsidRDefault="00B43FD5" w:rsidP="00B43FD5">
      <w:pPr>
        <w:pStyle w:val="Heading2"/>
      </w:pPr>
      <w:r w:rsidRPr="00B8727B">
        <w:t xml:space="preserve">Input by the </w:t>
      </w:r>
      <w:proofErr w:type="spellStart"/>
      <w:r w:rsidRPr="00B8727B">
        <w:t>MoME</w:t>
      </w:r>
      <w:proofErr w:type="spellEnd"/>
    </w:p>
    <w:p w14:paraId="7131D353" w14:textId="77777777" w:rsidR="00B43FD5" w:rsidRPr="008F6D25" w:rsidRDefault="00B43FD5" w:rsidP="00B43FD5">
      <w:pPr>
        <w:autoSpaceDE w:val="0"/>
        <w:autoSpaceDN w:val="0"/>
        <w:adjustRightInd w:val="0"/>
        <w:jc w:val="both"/>
        <w:rPr>
          <w:sz w:val="22"/>
          <w:szCs w:val="22"/>
        </w:rPr>
      </w:pPr>
    </w:p>
    <w:p w14:paraId="1F851915" w14:textId="77777777" w:rsidR="00B43FD5" w:rsidRDefault="00B43FD5" w:rsidP="00B43FD5">
      <w:pPr>
        <w:autoSpaceDE w:val="0"/>
        <w:autoSpaceDN w:val="0"/>
        <w:adjustRightInd w:val="0"/>
        <w:jc w:val="both"/>
        <w:rPr>
          <w:sz w:val="22"/>
          <w:szCs w:val="22"/>
        </w:rPr>
      </w:pPr>
      <w:r w:rsidRPr="00B8727B">
        <w:rPr>
          <w:sz w:val="22"/>
          <w:szCs w:val="22"/>
        </w:rPr>
        <w:t xml:space="preserve">The </w:t>
      </w:r>
      <w:proofErr w:type="spellStart"/>
      <w:r w:rsidRPr="00B8727B">
        <w:rPr>
          <w:sz w:val="22"/>
          <w:szCs w:val="22"/>
        </w:rPr>
        <w:t>MoME</w:t>
      </w:r>
      <w:proofErr w:type="spellEnd"/>
      <w:r w:rsidRPr="00B8727B">
        <w:rPr>
          <w:sz w:val="22"/>
          <w:szCs w:val="22"/>
        </w:rPr>
        <w:t xml:space="preserve"> will provide the </w:t>
      </w:r>
      <w:r w:rsidRPr="00554E97">
        <w:rPr>
          <w:sz w:val="22"/>
          <w:szCs w:val="22"/>
        </w:rPr>
        <w:t>Consultant</w:t>
      </w:r>
      <w:r w:rsidRPr="00B8727B">
        <w:rPr>
          <w:sz w:val="22"/>
          <w:szCs w:val="22"/>
        </w:rPr>
        <w:t xml:space="preserve"> with complete office infrastructure, the required equipment, access to any documentation and information necessary for the performance of his / her tasks.</w:t>
      </w:r>
      <w:r w:rsidRPr="00420825">
        <w:rPr>
          <w:sz w:val="22"/>
          <w:szCs w:val="22"/>
        </w:rPr>
        <w:t xml:space="preserve"> </w:t>
      </w:r>
    </w:p>
    <w:p w14:paraId="501FECE8" w14:textId="77777777" w:rsidR="00B43FD5" w:rsidRDefault="00B43FD5" w:rsidP="00B43FD5">
      <w:pPr>
        <w:autoSpaceDE w:val="0"/>
        <w:autoSpaceDN w:val="0"/>
        <w:adjustRightInd w:val="0"/>
        <w:jc w:val="both"/>
        <w:rPr>
          <w:sz w:val="22"/>
          <w:szCs w:val="22"/>
        </w:rPr>
      </w:pPr>
    </w:p>
    <w:p w14:paraId="73D0558C" w14:textId="77777777" w:rsidR="00B43FD5" w:rsidRPr="00981FCA" w:rsidRDefault="00B43FD5" w:rsidP="00B43FD5">
      <w:pPr>
        <w:pStyle w:val="Heading2"/>
      </w:pPr>
      <w:r w:rsidRPr="00981FCA">
        <w:t>Procurement Regulation</w:t>
      </w:r>
    </w:p>
    <w:p w14:paraId="1A6ED0D3" w14:textId="77777777" w:rsidR="00B43FD5" w:rsidRDefault="00B43FD5" w:rsidP="00B43FD5">
      <w:pPr>
        <w:jc w:val="both"/>
        <w:rPr>
          <w:sz w:val="22"/>
          <w:szCs w:val="22"/>
        </w:rPr>
      </w:pPr>
    </w:p>
    <w:p w14:paraId="284DF6F6" w14:textId="77777777" w:rsidR="00B43FD5" w:rsidRPr="00981FCA" w:rsidRDefault="00B43FD5" w:rsidP="00B43FD5">
      <w:pPr>
        <w:jc w:val="both"/>
        <w:rPr>
          <w:spacing w:val="-2"/>
          <w:sz w:val="22"/>
          <w:szCs w:val="22"/>
        </w:rPr>
      </w:pPr>
      <w:r w:rsidRPr="00981FCA">
        <w:rPr>
          <w:sz w:val="22"/>
          <w:szCs w:val="22"/>
        </w:rPr>
        <w:t xml:space="preserve">The attention of interested Consultants is drawn to paragraph 3.14, 3.16 and 3.17 of the World Bank’s Procurement Regulations for Investment Project Financing (IPF) Borrowers, </w:t>
      </w:r>
      <w:r w:rsidRPr="00981FCA">
        <w:rPr>
          <w:iCs/>
          <w:sz w:val="22"/>
          <w:szCs w:val="22"/>
        </w:rPr>
        <w:t>Procurement in Investment Project Financing Goods, Works, Non-Consulting, and Consulting Services</w:t>
      </w:r>
      <w:r w:rsidRPr="00981FCA">
        <w:rPr>
          <w:sz w:val="22"/>
          <w:szCs w:val="22"/>
        </w:rPr>
        <w:t xml:space="preserve"> (updated November 2020</w:t>
      </w:r>
      <w:proofErr w:type="gramStart"/>
      <w:r w:rsidRPr="00981FCA">
        <w:rPr>
          <w:sz w:val="22"/>
          <w:szCs w:val="22"/>
        </w:rPr>
        <w:t>)</w:t>
      </w:r>
      <w:r w:rsidRPr="00981FCA">
        <w:rPr>
          <w:i/>
          <w:sz w:val="22"/>
          <w:szCs w:val="22"/>
        </w:rPr>
        <w:t xml:space="preserve"> </w:t>
      </w:r>
      <w:r w:rsidRPr="00981FCA">
        <w:rPr>
          <w:sz w:val="22"/>
          <w:szCs w:val="22"/>
        </w:rPr>
        <w:t xml:space="preserve"> setting</w:t>
      </w:r>
      <w:proofErr w:type="gramEnd"/>
      <w:r w:rsidRPr="00981FCA">
        <w:rPr>
          <w:sz w:val="22"/>
          <w:szCs w:val="22"/>
        </w:rPr>
        <w:t xml:space="preserve"> forth the World Bank’s policy on conflict of interest. </w:t>
      </w:r>
    </w:p>
    <w:p w14:paraId="5207F9B5" w14:textId="77777777" w:rsidR="00B43FD5" w:rsidRPr="0067489C" w:rsidRDefault="00B43FD5" w:rsidP="00B43FD5">
      <w:pPr>
        <w:ind w:left="-5"/>
        <w:rPr>
          <w:rFonts w:asciiTheme="majorHAnsi" w:eastAsiaTheme="majorEastAsia" w:hAnsiTheme="majorHAnsi"/>
          <w:color w:val="2E74B5" w:themeColor="accent1" w:themeShade="BF"/>
          <w:sz w:val="26"/>
        </w:rPr>
      </w:pPr>
    </w:p>
    <w:p w14:paraId="17037364" w14:textId="77777777" w:rsidR="00B43FD5" w:rsidRDefault="00B43FD5" w:rsidP="00B43FD5">
      <w:pPr>
        <w:ind w:left="-5"/>
        <w:rPr>
          <w:rFonts w:asciiTheme="majorHAnsi" w:eastAsiaTheme="majorEastAsia" w:hAnsiTheme="majorHAnsi" w:cstheme="majorBidi"/>
          <w:color w:val="2E74B5" w:themeColor="accent1" w:themeShade="BF"/>
          <w:sz w:val="26"/>
          <w:szCs w:val="26"/>
        </w:rPr>
      </w:pPr>
      <w:r w:rsidRPr="00633450">
        <w:rPr>
          <w:rFonts w:asciiTheme="majorHAnsi" w:eastAsiaTheme="majorEastAsia" w:hAnsiTheme="majorHAnsi" w:cstheme="majorBidi"/>
          <w:color w:val="2E74B5" w:themeColor="accent1" w:themeShade="BF"/>
          <w:sz w:val="26"/>
          <w:szCs w:val="26"/>
        </w:rPr>
        <w:t>Selection of consultant</w:t>
      </w:r>
    </w:p>
    <w:p w14:paraId="7A6E869C" w14:textId="77777777" w:rsidR="00B43FD5" w:rsidRPr="00633450" w:rsidRDefault="00B43FD5" w:rsidP="00B43FD5">
      <w:pPr>
        <w:ind w:left="-5"/>
        <w:rPr>
          <w:rFonts w:asciiTheme="majorHAnsi" w:eastAsiaTheme="majorEastAsia" w:hAnsiTheme="majorHAnsi" w:cstheme="majorBidi"/>
          <w:color w:val="2E74B5" w:themeColor="accent1" w:themeShade="BF"/>
          <w:sz w:val="26"/>
          <w:szCs w:val="26"/>
        </w:rPr>
      </w:pPr>
    </w:p>
    <w:p w14:paraId="7D2F1337" w14:textId="77777777" w:rsidR="00B43FD5" w:rsidRPr="003D0246" w:rsidRDefault="00B43FD5" w:rsidP="00B43FD5">
      <w:pPr>
        <w:spacing w:after="120"/>
        <w:jc w:val="both"/>
        <w:rPr>
          <w:color w:val="7030A0"/>
          <w:sz w:val="22"/>
          <w:szCs w:val="22"/>
        </w:rPr>
      </w:pPr>
      <w:r w:rsidRPr="00981FCA">
        <w:rPr>
          <w:spacing w:val="-2"/>
          <w:sz w:val="22"/>
          <w:szCs w:val="22"/>
        </w:rPr>
        <w:t xml:space="preserve">A Consultant will be selected in accordance with the </w:t>
      </w:r>
      <w:r w:rsidRPr="00981FCA">
        <w:rPr>
          <w:i/>
          <w:spacing w:val="-2"/>
          <w:sz w:val="22"/>
          <w:szCs w:val="22"/>
        </w:rPr>
        <w:t>Open Competitive Selection of Individual Consultants</w:t>
      </w:r>
      <w:r w:rsidRPr="00981FCA">
        <w:rPr>
          <w:spacing w:val="-2"/>
          <w:sz w:val="22"/>
          <w:szCs w:val="22"/>
        </w:rPr>
        <w:t xml:space="preserve"> as set out in the </w:t>
      </w:r>
      <w:r w:rsidRPr="00981FCA">
        <w:rPr>
          <w:sz w:val="22"/>
          <w:szCs w:val="22"/>
        </w:rPr>
        <w:t>World Bank’s</w:t>
      </w:r>
      <w:r w:rsidRPr="00981FCA">
        <w:rPr>
          <w:spacing w:val="-2"/>
          <w:sz w:val="22"/>
          <w:szCs w:val="22"/>
        </w:rPr>
        <w:t xml:space="preserve"> Procurement Regulations. The type of contract will be time-based contract.</w:t>
      </w:r>
    </w:p>
    <w:p w14:paraId="120131A0" w14:textId="77777777" w:rsidR="00B43FD5" w:rsidRPr="00633450" w:rsidRDefault="00B43FD5" w:rsidP="00B43FD5">
      <w:pPr>
        <w:ind w:left="-5"/>
        <w:rPr>
          <w:spacing w:val="-2"/>
          <w:sz w:val="22"/>
          <w:szCs w:val="22"/>
        </w:rPr>
      </w:pPr>
    </w:p>
    <w:p w14:paraId="52D9785A" w14:textId="77777777" w:rsidR="00B43FD5" w:rsidRPr="00633450" w:rsidRDefault="00B43FD5" w:rsidP="00B43FD5">
      <w:pPr>
        <w:ind w:left="-5"/>
        <w:rPr>
          <w:spacing w:val="-2"/>
          <w:sz w:val="22"/>
          <w:szCs w:val="22"/>
        </w:rPr>
      </w:pPr>
      <w:r w:rsidRPr="00633450">
        <w:rPr>
          <w:spacing w:val="-2"/>
          <w:sz w:val="22"/>
          <w:szCs w:val="22"/>
        </w:rPr>
        <w:t xml:space="preserve">The candidates will be evaluated applying the following evaluation criteria: </w:t>
      </w:r>
    </w:p>
    <w:p w14:paraId="7BEAFB7E" w14:textId="77777777" w:rsidR="00B43FD5" w:rsidRPr="00633450" w:rsidRDefault="00B43FD5" w:rsidP="00B43FD5">
      <w:pPr>
        <w:pStyle w:val="ListParagraph"/>
        <w:numPr>
          <w:ilvl w:val="0"/>
          <w:numId w:val="4"/>
        </w:numPr>
        <w:rPr>
          <w:spacing w:val="-2"/>
          <w:sz w:val="22"/>
          <w:szCs w:val="22"/>
        </w:rPr>
      </w:pPr>
      <w:r w:rsidRPr="00633450">
        <w:rPr>
          <w:spacing w:val="-2"/>
          <w:sz w:val="22"/>
          <w:szCs w:val="22"/>
        </w:rPr>
        <w:t xml:space="preserve">General </w:t>
      </w:r>
      <w:r w:rsidRPr="00C80DED">
        <w:rPr>
          <w:spacing w:val="-2"/>
          <w:sz w:val="22"/>
          <w:szCs w:val="22"/>
        </w:rPr>
        <w:t>experience</w:t>
      </w:r>
      <w:r>
        <w:rPr>
          <w:spacing w:val="-2"/>
          <w:sz w:val="22"/>
          <w:szCs w:val="22"/>
        </w:rPr>
        <w:t xml:space="preserve"> </w:t>
      </w:r>
      <w:r w:rsidRPr="00C80DED">
        <w:rPr>
          <w:spacing w:val="-2"/>
          <w:sz w:val="22"/>
          <w:szCs w:val="22"/>
        </w:rPr>
        <w:t>(</w:t>
      </w:r>
      <w:r w:rsidRPr="00633450">
        <w:rPr>
          <w:spacing w:val="-2"/>
          <w:sz w:val="22"/>
          <w:szCs w:val="22"/>
        </w:rPr>
        <w:t>40 Points)</w:t>
      </w:r>
    </w:p>
    <w:p w14:paraId="00BF1912" w14:textId="77777777" w:rsidR="00B43FD5" w:rsidRPr="00633450" w:rsidRDefault="00B43FD5" w:rsidP="00B43FD5">
      <w:pPr>
        <w:pStyle w:val="ListParagraph"/>
        <w:numPr>
          <w:ilvl w:val="0"/>
          <w:numId w:val="4"/>
        </w:numPr>
        <w:rPr>
          <w:spacing w:val="-2"/>
          <w:sz w:val="22"/>
          <w:szCs w:val="22"/>
        </w:rPr>
      </w:pPr>
      <w:r w:rsidRPr="00633450">
        <w:rPr>
          <w:spacing w:val="-2"/>
          <w:sz w:val="22"/>
          <w:szCs w:val="22"/>
        </w:rPr>
        <w:t xml:space="preserve">Specific </w:t>
      </w:r>
      <w:r>
        <w:rPr>
          <w:spacing w:val="-2"/>
          <w:sz w:val="22"/>
          <w:szCs w:val="22"/>
        </w:rPr>
        <w:t>e</w:t>
      </w:r>
      <w:r w:rsidRPr="00633450">
        <w:rPr>
          <w:spacing w:val="-2"/>
          <w:sz w:val="22"/>
          <w:szCs w:val="22"/>
        </w:rPr>
        <w:t xml:space="preserve">xperience and skills relevant to the </w:t>
      </w:r>
      <w:r>
        <w:rPr>
          <w:spacing w:val="-2"/>
          <w:sz w:val="22"/>
          <w:szCs w:val="22"/>
        </w:rPr>
        <w:t>a</w:t>
      </w:r>
      <w:r w:rsidRPr="00C80DED">
        <w:rPr>
          <w:spacing w:val="-2"/>
          <w:sz w:val="22"/>
          <w:szCs w:val="22"/>
        </w:rPr>
        <w:t>ssignment (</w:t>
      </w:r>
      <w:r w:rsidRPr="00633450">
        <w:rPr>
          <w:spacing w:val="-2"/>
          <w:sz w:val="22"/>
          <w:szCs w:val="22"/>
        </w:rPr>
        <w:t xml:space="preserve">60 Points)  </w:t>
      </w:r>
    </w:p>
    <w:p w14:paraId="3E318A9A" w14:textId="77777777" w:rsidR="00B43FD5" w:rsidRPr="001F4A15" w:rsidRDefault="00B43FD5" w:rsidP="00B43FD5">
      <w:pPr>
        <w:jc w:val="both"/>
        <w:rPr>
          <w:color w:val="000000" w:themeColor="text1"/>
          <w:sz w:val="22"/>
          <w:szCs w:val="22"/>
        </w:rPr>
      </w:pPr>
    </w:p>
    <w:p w14:paraId="0D9EFF3B" w14:textId="77777777" w:rsidR="00B43FD5" w:rsidRPr="00B142F2" w:rsidRDefault="00B43FD5" w:rsidP="00B43FD5">
      <w:pPr>
        <w:spacing w:after="120"/>
        <w:jc w:val="both"/>
        <w:rPr>
          <w:sz w:val="22"/>
          <w:szCs w:val="22"/>
        </w:rPr>
      </w:pPr>
    </w:p>
    <w:p w14:paraId="27B22BBD" w14:textId="77777777" w:rsidR="00B43FD5" w:rsidRDefault="00B43FD5" w:rsidP="00B43FD5"/>
    <w:p w14:paraId="7C41A599" w14:textId="77777777" w:rsidR="00822E69" w:rsidRDefault="00822E69"/>
    <w:sectPr w:rsidR="00822E69" w:rsidSect="000D19DE">
      <w:headerReference w:type="default" r:id="rId8"/>
      <w:footerReference w:type="default" r:id="rId9"/>
      <w:pgSz w:w="12240" w:h="15840"/>
      <w:pgMar w:top="899" w:right="1800" w:bottom="539"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6896E" w14:textId="77777777" w:rsidR="00BA7BDB" w:rsidRDefault="00BA7BDB">
      <w:r>
        <w:separator/>
      </w:r>
    </w:p>
  </w:endnote>
  <w:endnote w:type="continuationSeparator" w:id="0">
    <w:p w14:paraId="276261C4" w14:textId="77777777" w:rsidR="00BA7BDB" w:rsidRDefault="00BA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FFD6D" w14:textId="26386504" w:rsidR="003F40FE" w:rsidRDefault="00BA7BDB">
    <w:pPr>
      <w:pStyle w:val="Footer"/>
      <w:jc w:val="center"/>
    </w:pPr>
    <w:sdt>
      <w:sdtPr>
        <w:id w:val="-1462572911"/>
        <w:docPartObj>
          <w:docPartGallery w:val="Page Numbers (Bottom of Page)"/>
          <w:docPartUnique/>
        </w:docPartObj>
      </w:sdtPr>
      <w:sdtEndPr>
        <w:rPr>
          <w:noProof/>
        </w:rPr>
      </w:sdtEndPr>
      <w:sdtContent>
        <w:r w:rsidR="00204F67">
          <w:fldChar w:fldCharType="begin"/>
        </w:r>
        <w:r w:rsidR="00204F67">
          <w:instrText xml:space="preserve"> PAGE   \* MERGEFORMAT </w:instrText>
        </w:r>
        <w:r w:rsidR="00204F67">
          <w:fldChar w:fldCharType="separate"/>
        </w:r>
        <w:r w:rsidR="00776BD1">
          <w:rPr>
            <w:noProof/>
          </w:rPr>
          <w:t>1</w:t>
        </w:r>
        <w:r w:rsidR="00204F67">
          <w:rPr>
            <w:noProof/>
          </w:rPr>
          <w:fldChar w:fldCharType="end"/>
        </w:r>
      </w:sdtContent>
    </w:sdt>
  </w:p>
  <w:p w14:paraId="663A0F85" w14:textId="77777777" w:rsidR="003F40FE" w:rsidRDefault="003F40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86DFB" w14:textId="77777777" w:rsidR="00BA7BDB" w:rsidRDefault="00BA7BDB">
      <w:r>
        <w:separator/>
      </w:r>
    </w:p>
  </w:footnote>
  <w:footnote w:type="continuationSeparator" w:id="0">
    <w:p w14:paraId="1ADAA7ED" w14:textId="77777777" w:rsidR="00BA7BDB" w:rsidRDefault="00BA7B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C1346" w14:textId="77777777" w:rsidR="003F40FE" w:rsidRDefault="003F40F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D7490"/>
    <w:multiLevelType w:val="hybridMultilevel"/>
    <w:tmpl w:val="306285A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55CF2BE1"/>
    <w:multiLevelType w:val="hybridMultilevel"/>
    <w:tmpl w:val="0F707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7EE1C26"/>
    <w:multiLevelType w:val="hybridMultilevel"/>
    <w:tmpl w:val="8F9AB448"/>
    <w:lvl w:ilvl="0" w:tplc="40090001">
      <w:start w:val="1"/>
      <w:numFmt w:val="bullet"/>
      <w:pStyle w:val="NormalList"/>
      <w:lvlText w:val=""/>
      <w:lvlJc w:val="left"/>
      <w:pPr>
        <w:ind w:left="720" w:hanging="360"/>
      </w:pPr>
      <w:rPr>
        <w:rFonts w:ascii="Symbol" w:hAnsi="Symbol" w:hint="default"/>
      </w:rPr>
    </w:lvl>
    <w:lvl w:ilvl="1" w:tplc="40090003">
      <w:start w:val="1"/>
      <w:numFmt w:val="bullet"/>
      <w:pStyle w:val="NormalSublis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7B53017"/>
    <w:multiLevelType w:val="hybridMultilevel"/>
    <w:tmpl w:val="57C6C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9A86345"/>
    <w:multiLevelType w:val="hybridMultilevel"/>
    <w:tmpl w:val="478ACD76"/>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FD5"/>
    <w:rsid w:val="000131F2"/>
    <w:rsid w:val="00090E44"/>
    <w:rsid w:val="000B76D6"/>
    <w:rsid w:val="000C14E5"/>
    <w:rsid w:val="000D19DE"/>
    <w:rsid w:val="000D1FEB"/>
    <w:rsid w:val="000D4CCA"/>
    <w:rsid w:val="000E281B"/>
    <w:rsid w:val="000E2E56"/>
    <w:rsid w:val="00123B6A"/>
    <w:rsid w:val="001248B9"/>
    <w:rsid w:val="0014006F"/>
    <w:rsid w:val="00161087"/>
    <w:rsid w:val="00161F2F"/>
    <w:rsid w:val="001A4CF8"/>
    <w:rsid w:val="001A71DC"/>
    <w:rsid w:val="00204F67"/>
    <w:rsid w:val="00225D6D"/>
    <w:rsid w:val="00234E15"/>
    <w:rsid w:val="002705BF"/>
    <w:rsid w:val="00286B21"/>
    <w:rsid w:val="00287D7F"/>
    <w:rsid w:val="00300559"/>
    <w:rsid w:val="00334DC2"/>
    <w:rsid w:val="003440E4"/>
    <w:rsid w:val="003C48EF"/>
    <w:rsid w:val="003F40FE"/>
    <w:rsid w:val="003F57A3"/>
    <w:rsid w:val="004323F8"/>
    <w:rsid w:val="004442E5"/>
    <w:rsid w:val="00457735"/>
    <w:rsid w:val="00464EDC"/>
    <w:rsid w:val="00471290"/>
    <w:rsid w:val="0047213D"/>
    <w:rsid w:val="004F2F21"/>
    <w:rsid w:val="005434E8"/>
    <w:rsid w:val="005801E6"/>
    <w:rsid w:val="00580340"/>
    <w:rsid w:val="00596ADC"/>
    <w:rsid w:val="00607BBD"/>
    <w:rsid w:val="006304D5"/>
    <w:rsid w:val="00637189"/>
    <w:rsid w:val="006623C2"/>
    <w:rsid w:val="006627BB"/>
    <w:rsid w:val="00675DD6"/>
    <w:rsid w:val="00686F18"/>
    <w:rsid w:val="006A4B03"/>
    <w:rsid w:val="00703DED"/>
    <w:rsid w:val="0076651A"/>
    <w:rsid w:val="00776BD1"/>
    <w:rsid w:val="00790DCF"/>
    <w:rsid w:val="00793BB1"/>
    <w:rsid w:val="007962F8"/>
    <w:rsid w:val="007B70A9"/>
    <w:rsid w:val="007E5BC6"/>
    <w:rsid w:val="008127EA"/>
    <w:rsid w:val="00822E69"/>
    <w:rsid w:val="0083134E"/>
    <w:rsid w:val="00837533"/>
    <w:rsid w:val="00873464"/>
    <w:rsid w:val="008A078E"/>
    <w:rsid w:val="008B0C1C"/>
    <w:rsid w:val="008F77F4"/>
    <w:rsid w:val="00931369"/>
    <w:rsid w:val="00941BA6"/>
    <w:rsid w:val="00943E3E"/>
    <w:rsid w:val="009627DE"/>
    <w:rsid w:val="00A21F58"/>
    <w:rsid w:val="00A61E0B"/>
    <w:rsid w:val="00AC5A07"/>
    <w:rsid w:val="00AE2DEB"/>
    <w:rsid w:val="00AE6E6E"/>
    <w:rsid w:val="00AF5689"/>
    <w:rsid w:val="00B43FD5"/>
    <w:rsid w:val="00B72028"/>
    <w:rsid w:val="00BA7BDB"/>
    <w:rsid w:val="00BC203E"/>
    <w:rsid w:val="00BE7985"/>
    <w:rsid w:val="00C17A2F"/>
    <w:rsid w:val="00C20F77"/>
    <w:rsid w:val="00C35E53"/>
    <w:rsid w:val="00C36D68"/>
    <w:rsid w:val="00C66232"/>
    <w:rsid w:val="00C664BE"/>
    <w:rsid w:val="00CA2367"/>
    <w:rsid w:val="00CB2868"/>
    <w:rsid w:val="00CC2659"/>
    <w:rsid w:val="00CD72CC"/>
    <w:rsid w:val="00CF41AE"/>
    <w:rsid w:val="00D23817"/>
    <w:rsid w:val="00D3158E"/>
    <w:rsid w:val="00DD17CA"/>
    <w:rsid w:val="00DD1B46"/>
    <w:rsid w:val="00DE1038"/>
    <w:rsid w:val="00E2314F"/>
    <w:rsid w:val="00E34EA6"/>
    <w:rsid w:val="00E41F78"/>
    <w:rsid w:val="00E95B00"/>
    <w:rsid w:val="00EB1871"/>
    <w:rsid w:val="00EC28FB"/>
    <w:rsid w:val="00F02551"/>
    <w:rsid w:val="00F21100"/>
    <w:rsid w:val="00F21CE0"/>
    <w:rsid w:val="00F37C72"/>
    <w:rsid w:val="00F90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75E2C"/>
  <w15:chartTrackingRefBased/>
  <w15:docId w15:val="{DC37F73D-480F-4C68-8734-58AEDCB8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FD5"/>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uiPriority w:val="9"/>
    <w:unhideWhenUsed/>
    <w:qFormat/>
    <w:rsid w:val="00B43FD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3FD5"/>
    <w:rPr>
      <w:rFonts w:asciiTheme="majorHAnsi" w:eastAsiaTheme="majorEastAsia" w:hAnsiTheme="majorHAnsi" w:cstheme="majorBidi"/>
      <w:color w:val="2E74B5" w:themeColor="accent1" w:themeShade="BF"/>
      <w:kern w:val="0"/>
      <w:sz w:val="26"/>
      <w:szCs w:val="26"/>
      <w14:ligatures w14:val="none"/>
    </w:rPr>
  </w:style>
  <w:style w:type="paragraph" w:styleId="Header">
    <w:name w:val="header"/>
    <w:basedOn w:val="Normal"/>
    <w:link w:val="HeaderChar"/>
    <w:semiHidden/>
    <w:rsid w:val="00B43FD5"/>
    <w:pPr>
      <w:tabs>
        <w:tab w:val="center" w:pos="4153"/>
        <w:tab w:val="right" w:pos="8306"/>
      </w:tabs>
    </w:pPr>
  </w:style>
  <w:style w:type="character" w:customStyle="1" w:styleId="HeaderChar">
    <w:name w:val="Header Char"/>
    <w:basedOn w:val="DefaultParagraphFont"/>
    <w:link w:val="Header"/>
    <w:semiHidden/>
    <w:rsid w:val="00B43FD5"/>
    <w:rPr>
      <w:rFonts w:ascii="Times New Roman" w:eastAsia="Times New Roman" w:hAnsi="Times New Roman" w:cs="Times New Roman"/>
      <w:kern w:val="0"/>
      <w:sz w:val="24"/>
      <w:szCs w:val="24"/>
      <w14:ligatures w14:val="none"/>
    </w:rPr>
  </w:style>
  <w:style w:type="paragraph" w:customStyle="1" w:styleId="NormalList">
    <w:name w:val="Normal List"/>
    <w:basedOn w:val="Normal"/>
    <w:qFormat/>
    <w:rsid w:val="00B43FD5"/>
    <w:pPr>
      <w:numPr>
        <w:numId w:val="1"/>
      </w:numPr>
      <w:spacing w:before="120"/>
      <w:ind w:left="0" w:firstLine="0"/>
      <w:jc w:val="both"/>
    </w:pPr>
    <w:rPr>
      <w:rFonts w:asciiTheme="minorHAnsi" w:eastAsiaTheme="minorHAnsi" w:hAnsiTheme="minorHAnsi"/>
      <w:sz w:val="22"/>
      <w:szCs w:val="22"/>
    </w:rPr>
  </w:style>
  <w:style w:type="paragraph" w:customStyle="1" w:styleId="NormalSublist">
    <w:name w:val="Normal Sublist"/>
    <w:basedOn w:val="NormalList"/>
    <w:qFormat/>
    <w:rsid w:val="00B43FD5"/>
    <w:pPr>
      <w:numPr>
        <w:ilvl w:val="1"/>
      </w:numPr>
    </w:pPr>
  </w:style>
  <w:style w:type="paragraph" w:styleId="Footer">
    <w:name w:val="footer"/>
    <w:basedOn w:val="Normal"/>
    <w:link w:val="FooterChar"/>
    <w:uiPriority w:val="99"/>
    <w:unhideWhenUsed/>
    <w:rsid w:val="00B43FD5"/>
    <w:pPr>
      <w:tabs>
        <w:tab w:val="center" w:pos="4680"/>
        <w:tab w:val="right" w:pos="9360"/>
      </w:tabs>
    </w:pPr>
  </w:style>
  <w:style w:type="character" w:customStyle="1" w:styleId="FooterChar">
    <w:name w:val="Footer Char"/>
    <w:basedOn w:val="DefaultParagraphFont"/>
    <w:link w:val="Footer"/>
    <w:uiPriority w:val="99"/>
    <w:rsid w:val="00B43FD5"/>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B43FD5"/>
    <w:pPr>
      <w:ind w:left="720"/>
      <w:contextualSpacing/>
    </w:pPr>
  </w:style>
  <w:style w:type="paragraph" w:styleId="Revision">
    <w:name w:val="Revision"/>
    <w:hidden/>
    <w:uiPriority w:val="99"/>
    <w:semiHidden/>
    <w:rsid w:val="0076651A"/>
    <w:pPr>
      <w:spacing w:after="0"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C66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232"/>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1871</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Mladen Mrkić</dc:creator>
  <cp:keywords/>
  <dc:description/>
  <cp:lastModifiedBy>Dejan</cp:lastModifiedBy>
  <cp:revision>3</cp:revision>
  <dcterms:created xsi:type="dcterms:W3CDTF">2025-04-29T06:34:00Z</dcterms:created>
  <dcterms:modified xsi:type="dcterms:W3CDTF">2025-04-29T06:34:00Z</dcterms:modified>
</cp:coreProperties>
</file>